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A398DD">
      <w:pPr>
        <w:pStyle w:val="2"/>
        <w:jc w:val="center"/>
        <w:rPr>
          <w:rFonts w:ascii="Times New Roman" w:hAnsi="Times New Roman" w:cs="Times New Roman"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14:textFill>
            <w14:solidFill>
              <w14:schemeClr w14:val="tx1"/>
            </w14:solidFill>
          </w14:textFill>
        </w:rPr>
        <w:t>ДОГОВОР № _______</w:t>
      </w:r>
    </w:p>
    <w:p w14:paraId="502C5118">
      <w:pPr>
        <w:pStyle w:val="23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участия в долевом строительстве многоквартирного дома</w:t>
      </w:r>
    </w:p>
    <w:p w14:paraId="4F2FD465">
      <w:pPr>
        <w:pStyle w:val="24"/>
        <w:widowControl/>
        <w:jc w:val="both"/>
        <w:rPr>
          <w:rFonts w:ascii="Times New Roman" w:hAnsi="Times New Roman" w:cs="Times New Roman"/>
          <w:sz w:val="21"/>
          <w:szCs w:val="21"/>
        </w:rPr>
      </w:pPr>
    </w:p>
    <w:tbl>
      <w:tblPr>
        <w:tblStyle w:val="17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27"/>
        <w:gridCol w:w="5028"/>
      </w:tblGrid>
      <w:tr w14:paraId="4F1F01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27" w:type="dxa"/>
          </w:tcPr>
          <w:p w14:paraId="78F3F5E3">
            <w:pPr>
              <w:pStyle w:val="24"/>
              <w:widowControl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 xml:space="preserve">г. Кемерово                                                                         </w:t>
            </w:r>
          </w:p>
        </w:tc>
        <w:tc>
          <w:tcPr>
            <w:tcW w:w="5028" w:type="dxa"/>
          </w:tcPr>
          <w:p w14:paraId="422D0571">
            <w:pPr>
              <w:pStyle w:val="24"/>
              <w:widowControl/>
              <w:jc w:val="right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21"/>
                <w:szCs w:val="21"/>
              </w:rPr>
              <w:t>__________________20____ года</w:t>
            </w:r>
          </w:p>
          <w:p w14:paraId="5436A32E">
            <w:pPr>
              <w:pStyle w:val="24"/>
              <w:widowControl/>
              <w:jc w:val="right"/>
              <w:rPr>
                <w:rFonts w:ascii="Times New Roman" w:hAnsi="Times New Roman" w:cs="Times New Roman"/>
                <w:sz w:val="21"/>
                <w:szCs w:val="21"/>
                <w:lang w:val="en-US"/>
              </w:rPr>
            </w:pPr>
          </w:p>
        </w:tc>
      </w:tr>
    </w:tbl>
    <w:p w14:paraId="7387FF54">
      <w:pPr>
        <w:pStyle w:val="24"/>
        <w:widowControl/>
        <w:jc w:val="both"/>
        <w:rPr>
          <w:rFonts w:ascii="Times New Roman" w:hAnsi="Times New Roman" w:cs="Times New Roman"/>
          <w:sz w:val="21"/>
          <w:szCs w:val="21"/>
          <w:lang w:val="en-US"/>
        </w:rPr>
      </w:pPr>
    </w:p>
    <w:p w14:paraId="435B3632">
      <w:pPr>
        <w:pStyle w:val="23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Общество с ограниченной ответственностью Специализированный застройщик «СДС-Финанс»,</w:t>
      </w:r>
      <w:r>
        <w:rPr>
          <w:rFonts w:ascii="Times New Roman" w:hAnsi="Times New Roman" w:cs="Times New Roman"/>
          <w:sz w:val="21"/>
          <w:szCs w:val="21"/>
        </w:rPr>
        <w:t xml:space="preserve"> именуемое в дальнейшем </w:t>
      </w:r>
      <w:r>
        <w:rPr>
          <w:rFonts w:ascii="Times New Roman" w:hAnsi="Times New Roman" w:cs="Times New Roman"/>
          <w:b/>
          <w:sz w:val="21"/>
          <w:szCs w:val="21"/>
        </w:rPr>
        <w:t>«Застройщик»</w:t>
      </w:r>
      <w:r>
        <w:rPr>
          <w:rFonts w:ascii="Times New Roman" w:hAnsi="Times New Roman" w:cs="Times New Roman"/>
          <w:sz w:val="21"/>
          <w:szCs w:val="21"/>
        </w:rPr>
        <w:t>, в лице __________________, действующей на основании доверенности _____________________ года, удостоверенной ____________________, с одной стороны, и</w:t>
      </w:r>
    </w:p>
    <w:tbl>
      <w:tblPr>
        <w:tblStyle w:val="17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055"/>
      </w:tblGrid>
      <w:tr w14:paraId="7B6C45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055" w:type="dxa"/>
          </w:tcPr>
          <w:p w14:paraId="1D3AFF99">
            <w:pPr>
              <w:pStyle w:val="23"/>
              <w:widowControl/>
              <w:ind w:firstLine="447"/>
              <w:jc w:val="both"/>
              <w:rPr>
                <w:rFonts w:ascii="Times New Roman" w:hAnsi="Times New Roman" w:cs="Times New Roman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b/>
                <w:bCs/>
                <w:sz w:val="21"/>
                <w:szCs w:val="21"/>
              </w:rPr>
              <w:t xml:space="preserve">____________________, ____________________ </w:t>
            </w:r>
            <w:r>
              <w:rPr>
                <w:rFonts w:ascii="Times New Roman" w:hAnsi="Times New Roman" w:cs="Times New Roman"/>
                <w:sz w:val="21"/>
                <w:szCs w:val="21"/>
              </w:rPr>
              <w:t>года рождения,</w:t>
            </w:r>
          </w:p>
        </w:tc>
      </w:tr>
    </w:tbl>
    <w:p w14:paraId="03B262AB">
      <w:pPr>
        <w:pStyle w:val="23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именуемый в дальнейшем </w:t>
      </w:r>
      <w:r>
        <w:rPr>
          <w:rFonts w:ascii="Times New Roman" w:hAnsi="Times New Roman" w:cs="Times New Roman"/>
          <w:b/>
          <w:sz w:val="21"/>
          <w:szCs w:val="21"/>
        </w:rPr>
        <w:t>«Участник долевого строительства»</w:t>
      </w:r>
      <w:r>
        <w:rPr>
          <w:rFonts w:ascii="Times New Roman" w:hAnsi="Times New Roman" w:cs="Times New Roman"/>
          <w:sz w:val="21"/>
          <w:szCs w:val="21"/>
        </w:rPr>
        <w:t xml:space="preserve">, с другой стороны, далее совместно именуемые в тексте настоящего Договора </w:t>
      </w:r>
      <w:r>
        <w:rPr>
          <w:rFonts w:ascii="Times New Roman" w:hAnsi="Times New Roman" w:cs="Times New Roman"/>
          <w:b/>
          <w:sz w:val="21"/>
          <w:szCs w:val="21"/>
        </w:rPr>
        <w:t>«Стороны»,</w:t>
      </w:r>
      <w:r>
        <w:rPr>
          <w:rFonts w:ascii="Times New Roman" w:hAnsi="Times New Roman" w:cs="Times New Roman"/>
          <w:sz w:val="21"/>
          <w:szCs w:val="21"/>
        </w:rPr>
        <w:t xml:space="preserve"> по отдельности – «Сторона», </w:t>
      </w:r>
    </w:p>
    <w:p w14:paraId="6D7FEBA5">
      <w:pPr>
        <w:pStyle w:val="23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руководствуясь Федеральным законом </w:t>
      </w:r>
      <w:r>
        <w:rPr>
          <w:rFonts w:ascii="Times New Roman" w:hAnsi="Times New Roman" w:cs="Times New Roman"/>
          <w:b/>
          <w:sz w:val="21"/>
          <w:szCs w:val="21"/>
        </w:rPr>
        <w:t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</w:t>
      </w:r>
      <w:r>
        <w:rPr>
          <w:rFonts w:ascii="Times New Roman" w:hAnsi="Times New Roman" w:cs="Times New Roman"/>
          <w:sz w:val="21"/>
          <w:szCs w:val="21"/>
        </w:rPr>
        <w:t xml:space="preserve">  (далее по тексту - Федеральный закон № 214-ФЗ) заключили настоящий Договор о нижеследующем:</w:t>
      </w:r>
    </w:p>
    <w:p w14:paraId="5F801B9D">
      <w:pPr>
        <w:pStyle w:val="23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14:paraId="50B04DD8">
      <w:pPr>
        <w:pStyle w:val="23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14:paraId="16A74252">
      <w:pPr>
        <w:pStyle w:val="23"/>
        <w:widowControl/>
        <w:numPr>
          <w:ilvl w:val="0"/>
          <w:numId w:val="1"/>
        </w:numPr>
        <w:jc w:val="center"/>
        <w:rPr>
          <w:rFonts w:ascii="Times New Roman" w:hAnsi="Times New Roman" w:cs="Times New Roman"/>
          <w:b/>
          <w:sz w:val="21"/>
          <w:szCs w:val="21"/>
          <w:lang w:val="en-US"/>
        </w:rPr>
      </w:pPr>
      <w:r>
        <w:rPr>
          <w:rFonts w:ascii="Times New Roman" w:hAnsi="Times New Roman" w:cs="Times New Roman"/>
          <w:b/>
          <w:sz w:val="21"/>
          <w:szCs w:val="21"/>
        </w:rPr>
        <w:t>ПРЕДМЕТ ДОГОВОРА</w:t>
      </w:r>
    </w:p>
    <w:p w14:paraId="29A7F804">
      <w:pPr>
        <w:pStyle w:val="23"/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1.1.  По настоящему Договору Застройщик обязуется в предусмотренный Договором срок своими силами и (или) с привлечением других лиц построить (создать)   Жилой дом № 51/5, микрорайон №64, Ленинский район, город Кемерово, Кемеровская область, расположенный по строительному адресу: Российская Федерация, Кемеровская область- Кузбасс, Кемеровский городской округ, город Кемерово,  микрорайон 64, стр. №51 (далее по тексту – Дом), и после получения разрешения на ввод в эксплуатацию Дома передать Участнику долевого строительства жилое помещение (квартиру), характеристики которого указаны в п. 1.4. настоящего Договора, входящее в состав Дома (далее по тексту – Помещение), а Участник долевого строительства обязуется уплатить обусловленную Договором цену в размере и сроки, указанные в настоящем Договоре, и принять Помещение при наличии разрешения на ввод в эксплуатацию Дома. </w:t>
      </w:r>
      <w:r>
        <w:rPr>
          <w:rFonts w:ascii="Times New Roman" w:hAnsi="Times New Roman" w:cs="Times New Roman"/>
          <w:sz w:val="21"/>
          <w:szCs w:val="21"/>
        </w:rPr>
        <w:br w:type="textWrapping"/>
      </w:r>
      <w:r>
        <w:rPr>
          <w:rFonts w:ascii="Times New Roman" w:hAnsi="Times New Roman" w:cs="Times New Roman"/>
          <w:sz w:val="21"/>
          <w:szCs w:val="21"/>
        </w:rPr>
        <w:t>Дом расположен на земельном участке с кадастровым номером 42:04:0349002:4644, площадью  24003  кв.м., адрес (местоположение): Российская Федерация, Кемеровская область- Кузбасс, Кемеровский городской округ, город Кемерово,  микрорайон 64, стр. №51 Категория земель: земли населенных пунктов, виды разрешенного использования:  многоэтажная жилая застройка (высотная застройка) - далее по тексту - Земельный участок. Земельный участок принадлежит Застройщику на праве аренды. </w:t>
      </w:r>
    </w:p>
    <w:p w14:paraId="2BE27C15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1"/>
          <w:szCs w:val="21"/>
        </w:rPr>
      </w:pPr>
      <w:r>
        <w:rPr>
          <w:sz w:val="21"/>
          <w:szCs w:val="21"/>
        </w:rPr>
        <w:t>1.2. Основные характеристики Дома, подлежащие определению в настоящем Договоре в соответствии с Федеральным законом № 214-ФЗ:</w:t>
      </w:r>
    </w:p>
    <w:p w14:paraId="2ABF082C">
      <w:pPr>
        <w:widowControl w:val="0"/>
        <w:shd w:val="clear" w:color="auto" w:fill="FFFFFF"/>
        <w:tabs>
          <w:tab w:val="left" w:pos="1541"/>
        </w:tabs>
        <w:autoSpaceDE w:val="0"/>
        <w:autoSpaceDN w:val="0"/>
        <w:adjustRightInd w:val="0"/>
        <w:ind w:firstLine="567"/>
        <w:jc w:val="both"/>
        <w:rPr>
          <w:sz w:val="21"/>
          <w:szCs w:val="21"/>
        </w:rPr>
      </w:pPr>
    </w:p>
    <w:tbl>
      <w:tblPr>
        <w:tblStyle w:val="54"/>
        <w:tblW w:w="10206" w:type="dxa"/>
        <w:tblInd w:w="108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343"/>
        <w:gridCol w:w="3863"/>
      </w:tblGrid>
      <w:tr w14:paraId="6FA86C18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6343" w:type="dxa"/>
          </w:tcPr>
          <w:p w14:paraId="7DA951F4">
            <w:pPr>
              <w:shd w:val="clear" w:color="auto" w:fill="FFFFFF"/>
              <w:spacing w:line="276" w:lineRule="auto"/>
              <w:ind w:left="7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Наименование характеристики</w:t>
            </w:r>
          </w:p>
        </w:tc>
        <w:tc>
          <w:tcPr>
            <w:tcW w:w="3863" w:type="dxa"/>
          </w:tcPr>
          <w:p w14:paraId="63B9F2E7">
            <w:pPr>
              <w:shd w:val="clear" w:color="auto" w:fill="FFFFFF"/>
              <w:spacing w:line="276" w:lineRule="auto"/>
              <w:ind w:left="36"/>
              <w:jc w:val="center"/>
              <w:rPr>
                <w:b/>
                <w:sz w:val="21"/>
                <w:szCs w:val="21"/>
              </w:rPr>
            </w:pPr>
            <w:r>
              <w:rPr>
                <w:b/>
                <w:sz w:val="21"/>
                <w:szCs w:val="21"/>
              </w:rPr>
              <w:t>Описание характеристики</w:t>
            </w:r>
          </w:p>
        </w:tc>
      </w:tr>
      <w:tr w14:paraId="02DFF06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6343" w:type="dxa"/>
          </w:tcPr>
          <w:p w14:paraId="2B47CF4E">
            <w:pPr>
              <w:shd w:val="clear" w:color="auto" w:fill="FFFFFF"/>
              <w:spacing w:line="276" w:lineRule="auto"/>
              <w:ind w:left="14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Вид</w:t>
            </w:r>
          </w:p>
        </w:tc>
        <w:tc>
          <w:tcPr>
            <w:tcW w:w="3863" w:type="dxa"/>
            <w:vAlign w:val="center"/>
          </w:tcPr>
          <w:p w14:paraId="7CE89D1A">
            <w:pPr>
              <w:shd w:val="clear" w:color="auto" w:fill="FFFFFF"/>
              <w:spacing w:line="276" w:lineRule="auto"/>
              <w:ind w:left="482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Жилой дом</w:t>
            </w:r>
          </w:p>
        </w:tc>
      </w:tr>
      <w:tr w14:paraId="7A38B44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6343" w:type="dxa"/>
          </w:tcPr>
          <w:p w14:paraId="64154526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Назначение </w:t>
            </w:r>
          </w:p>
        </w:tc>
        <w:tc>
          <w:tcPr>
            <w:tcW w:w="3863" w:type="dxa"/>
            <w:vAlign w:val="center"/>
          </w:tcPr>
          <w:p w14:paraId="1F0ABE71">
            <w:pPr>
              <w:shd w:val="clear" w:color="auto" w:fill="FFFFFF"/>
              <w:spacing w:line="276" w:lineRule="auto"/>
              <w:ind w:left="49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Жилое</w:t>
            </w:r>
          </w:p>
        </w:tc>
      </w:tr>
      <w:tr w14:paraId="3E070E0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6343" w:type="dxa"/>
          </w:tcPr>
          <w:p w14:paraId="6C696069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 xml:space="preserve">Количество этажей </w:t>
            </w:r>
          </w:p>
        </w:tc>
        <w:tc>
          <w:tcPr>
            <w:tcW w:w="3863" w:type="dxa"/>
            <w:vAlign w:val="center"/>
          </w:tcPr>
          <w:p w14:paraId="21A47AC8">
            <w:pPr>
              <w:shd w:val="clear" w:color="auto" w:fill="FFFFFF"/>
              <w:spacing w:line="276" w:lineRule="auto"/>
              <w:ind w:left="490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  <w:lang w:val="en-US"/>
              </w:rPr>
              <w:t>1</w:t>
            </w:r>
            <w:r>
              <w:rPr>
                <w:sz w:val="21"/>
                <w:szCs w:val="21"/>
              </w:rPr>
              <w:t>6</w:t>
            </w:r>
          </w:p>
        </w:tc>
      </w:tr>
      <w:tr w14:paraId="4C132D4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6343" w:type="dxa"/>
          </w:tcPr>
          <w:p w14:paraId="2FB1949C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Общая площадь</w:t>
            </w:r>
          </w:p>
        </w:tc>
        <w:tc>
          <w:tcPr>
            <w:tcW w:w="3863" w:type="dxa"/>
          </w:tcPr>
          <w:p w14:paraId="4A9EE064">
            <w:pPr>
              <w:shd w:val="clear" w:color="auto" w:fill="FFFFFF"/>
              <w:spacing w:line="276" w:lineRule="auto"/>
              <w:ind w:left="482"/>
              <w:jc w:val="both"/>
              <w:rPr>
                <w:sz w:val="21"/>
                <w:szCs w:val="21"/>
                <w:lang w:val="en-US"/>
              </w:rPr>
            </w:pPr>
            <w:r>
              <w:rPr>
                <w:sz w:val="21"/>
                <w:szCs w:val="21"/>
                <w:lang w:val="en-US"/>
              </w:rPr>
              <w:t>11 189,2</w:t>
            </w:r>
            <w:r>
              <w:rPr>
                <w:sz w:val="21"/>
                <w:szCs w:val="21"/>
              </w:rPr>
              <w:t>кв</w:t>
            </w:r>
            <w:r>
              <w:rPr>
                <w:sz w:val="21"/>
                <w:szCs w:val="21"/>
                <w:lang w:val="en-US"/>
              </w:rPr>
              <w:t>.</w:t>
            </w:r>
            <w:r>
              <w:rPr>
                <w:sz w:val="21"/>
                <w:szCs w:val="21"/>
              </w:rPr>
              <w:t>м</w:t>
            </w:r>
            <w:r>
              <w:rPr>
                <w:sz w:val="21"/>
                <w:szCs w:val="21"/>
                <w:lang w:val="en-US"/>
              </w:rPr>
              <w:t>.</w:t>
            </w:r>
          </w:p>
        </w:tc>
      </w:tr>
      <w:tr w14:paraId="75D69A4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6343" w:type="dxa"/>
          </w:tcPr>
          <w:p w14:paraId="16BBD0B0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Материал наружных стен</w:t>
            </w:r>
          </w:p>
        </w:tc>
        <w:tc>
          <w:tcPr>
            <w:tcW w:w="3863" w:type="dxa"/>
            <w:vAlign w:val="center"/>
          </w:tcPr>
          <w:p w14:paraId="3E419AA6">
            <w:pPr>
              <w:autoSpaceDE w:val="0"/>
              <w:autoSpaceDN w:val="0"/>
              <w:adjustRightInd w:val="0"/>
              <w:ind w:left="495"/>
              <w:jc w:val="both"/>
              <w:rPr>
                <w:color w:val="000000"/>
                <w:sz w:val="21"/>
                <w:szCs w:val="21"/>
              </w:rPr>
            </w:pPr>
            <w:r>
              <w:rPr>
                <w:color w:val="000000"/>
                <w:sz w:val="21"/>
                <w:szCs w:val="21"/>
              </w:rPr>
              <w:t>Со сборным железобетонным каркасом и стенами из крупных каменных блоков и панелей</w:t>
            </w:r>
          </w:p>
        </w:tc>
      </w:tr>
      <w:tr w14:paraId="6767F01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6343" w:type="dxa"/>
          </w:tcPr>
          <w:p w14:paraId="44EAB7E5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Материал поэтажных перекрытий</w:t>
            </w:r>
          </w:p>
        </w:tc>
        <w:tc>
          <w:tcPr>
            <w:tcW w:w="3863" w:type="dxa"/>
            <w:vAlign w:val="center"/>
          </w:tcPr>
          <w:p w14:paraId="7B9D94F2">
            <w:pPr>
              <w:shd w:val="clear" w:color="auto" w:fill="FFFFFF"/>
              <w:spacing w:line="276" w:lineRule="auto"/>
              <w:ind w:left="46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Сборные железобетонные</w:t>
            </w:r>
          </w:p>
        </w:tc>
      </w:tr>
      <w:tr w14:paraId="742316E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6343" w:type="dxa"/>
          </w:tcPr>
          <w:p w14:paraId="1971823D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Класс энергоэффективности</w:t>
            </w:r>
          </w:p>
        </w:tc>
        <w:tc>
          <w:tcPr>
            <w:tcW w:w="3863" w:type="dxa"/>
            <w:vAlign w:val="center"/>
          </w:tcPr>
          <w:p w14:paraId="329E0B45">
            <w:pPr>
              <w:shd w:val="clear" w:color="auto" w:fill="FFFFFF"/>
              <w:spacing w:line="276" w:lineRule="auto"/>
              <w:ind w:left="46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В</w:t>
            </w:r>
          </w:p>
        </w:tc>
      </w:tr>
      <w:tr w14:paraId="26F1C769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</w:trPr>
        <w:tc>
          <w:tcPr>
            <w:tcW w:w="6343" w:type="dxa"/>
          </w:tcPr>
          <w:p w14:paraId="01319427">
            <w:pPr>
              <w:shd w:val="clear" w:color="auto" w:fill="FFFFFF"/>
              <w:spacing w:line="276" w:lineRule="auto"/>
              <w:ind w:left="7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Класс сейсмостойкости</w:t>
            </w:r>
          </w:p>
        </w:tc>
        <w:tc>
          <w:tcPr>
            <w:tcW w:w="3863" w:type="dxa"/>
            <w:vAlign w:val="center"/>
          </w:tcPr>
          <w:p w14:paraId="660D4A8C">
            <w:pPr>
              <w:shd w:val="clear" w:color="auto" w:fill="FFFFFF"/>
              <w:spacing w:line="276" w:lineRule="auto"/>
              <w:ind w:left="468"/>
              <w:jc w:val="both"/>
              <w:rPr>
                <w:sz w:val="21"/>
                <w:szCs w:val="21"/>
              </w:rPr>
            </w:pPr>
            <w:r>
              <w:rPr>
                <w:sz w:val="21"/>
                <w:szCs w:val="21"/>
              </w:rPr>
              <w:t>6 баллов</w:t>
            </w:r>
          </w:p>
        </w:tc>
      </w:tr>
    </w:tbl>
    <w:p w14:paraId="247BD153">
      <w:pPr>
        <w:shd w:val="clear" w:color="auto" w:fill="FFFFFF"/>
        <w:ind w:firstLine="567"/>
        <w:jc w:val="both"/>
        <w:rPr>
          <w:sz w:val="21"/>
          <w:szCs w:val="21"/>
        </w:rPr>
      </w:pPr>
    </w:p>
    <w:p w14:paraId="3D1A3040">
      <w:pPr>
        <w:autoSpaceDE w:val="0"/>
        <w:autoSpaceDN w:val="0"/>
        <w:ind w:firstLine="426"/>
        <w:jc w:val="both"/>
        <w:rPr>
          <w:sz w:val="21"/>
          <w:szCs w:val="21"/>
        </w:rPr>
      </w:pPr>
      <w:r>
        <w:rPr>
          <w:rFonts w:eastAsia="Calibri"/>
          <w:sz w:val="21"/>
          <w:szCs w:val="21"/>
          <w:lang w:eastAsia="en-US"/>
        </w:rPr>
        <w:t xml:space="preserve">1.3. </w:t>
      </w:r>
      <w:r>
        <w:rPr>
          <w:rFonts w:ascii="Times New Roman" w:hAnsi="Times New Roman" w:cs="Times New Roman"/>
          <w:sz w:val="21"/>
          <w:szCs w:val="21"/>
        </w:rPr>
        <w:t xml:space="preserve">Проектирование и строительство Дома, в том числе всех входящих в него помещений, осуществляется согласно ФЗ-384 от 30.12.2009 года «Технический регламент о безопасности зданий и сооружений» (далее – Закон), нормативного правового акта, утверждающего перечень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ФЗ «Технический регламент о безопасности зданий и сооружений», </w:t>
      </w:r>
      <w:r>
        <w:rPr>
          <w:rFonts w:ascii="Times New Roman" w:hAnsi="Times New Roman" w:cs="Times New Roman"/>
          <w:sz w:val="22"/>
          <w:szCs w:val="22"/>
        </w:rPr>
        <w:t>также со</w:t>
      </w:r>
      <w:r>
        <w:rPr>
          <w:rFonts w:ascii="Times New Roman" w:hAnsi="Times New Roman" w:cs="Times New Roman"/>
          <w:color w:val="000000" w:themeColor="text1"/>
          <w:sz w:val="22"/>
          <w:szCs w:val="22"/>
          <w:highlight w:val="none"/>
          <w14:textFill>
            <w14:solidFill>
              <w14:schemeClr w14:val="tx1"/>
            </w14:solidFill>
          </w14:textFill>
        </w:rPr>
        <w:t xml:space="preserve">гласно ГОСТ 72509-2026 «Отделочные работы», утвержденного Приказом №66-ст Федерального агентства по техническому регулированию и метрологии от 30.01.2026 (далее по тексту – ГОСТ 72509-2026).  </w:t>
      </w:r>
      <w:r>
        <w:rPr>
          <w:rFonts w:ascii="Times New Roman" w:hAnsi="Times New Roman" w:cs="Times New Roman"/>
          <w:color w:val="000000" w:themeColor="text1"/>
          <w:sz w:val="21"/>
          <w:szCs w:val="21"/>
          <w:highlight w:val="none"/>
          <w14:textFill>
            <w14:solidFill>
              <w14:schemeClr w14:val="tx1"/>
            </w14:solidFill>
          </w14:textFill>
        </w:rPr>
        <w:t>Все иные СП, СНиП и</w:t>
      </w:r>
      <w:r>
        <w:rPr>
          <w:rFonts w:ascii="Times New Roman" w:hAnsi="Times New Roman" w:cs="Times New Roman"/>
          <w:sz w:val="21"/>
          <w:szCs w:val="21"/>
        </w:rPr>
        <w:t xml:space="preserve"> ГОСТ, не входящие в перечень национальных стандартов и сводов правил (частей таких стандартов и сводов правил), утвержденных нормативно правовым актом, не являются обязательными и не применяются в рамках проектирования и строительства Дома, в том числе всех входящих в него помещений.</w:t>
      </w:r>
      <w:r>
        <w:rPr>
          <w:sz w:val="21"/>
          <w:szCs w:val="21"/>
        </w:rPr>
        <w:t>.</w:t>
      </w:r>
    </w:p>
    <w:p w14:paraId="30B9CB96">
      <w:pPr>
        <w:autoSpaceDE w:val="0"/>
        <w:autoSpaceDN w:val="0"/>
        <w:ind w:firstLine="426"/>
        <w:jc w:val="both"/>
        <w:rPr>
          <w:sz w:val="21"/>
          <w:szCs w:val="21"/>
        </w:rPr>
      </w:pPr>
      <w:r>
        <w:rPr>
          <w:sz w:val="21"/>
          <w:szCs w:val="21"/>
        </w:rPr>
        <w:t>1.4. Помещение имеет следующие основные характеристики:</w:t>
      </w:r>
    </w:p>
    <w:tbl>
      <w:tblPr>
        <w:tblStyle w:val="4"/>
        <w:tblW w:w="0" w:type="auto"/>
        <w:tblInd w:w="18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40" w:type="dxa"/>
          <w:bottom w:w="0" w:type="dxa"/>
          <w:right w:w="40" w:type="dxa"/>
        </w:tblCellMar>
      </w:tblPr>
      <w:tblGrid>
        <w:gridCol w:w="3953"/>
        <w:gridCol w:w="5107"/>
      </w:tblGrid>
      <w:tr w14:paraId="690FAE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62C40624">
            <w:pPr>
              <w:widowControl w:val="0"/>
              <w:autoSpaceDE w:val="0"/>
              <w:autoSpaceDN w:val="0"/>
              <w:adjustRightInd w:val="0"/>
              <w:spacing w:line="276" w:lineRule="auto"/>
              <w:ind w:left="102" w:hanging="88"/>
              <w:jc w:val="center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>Наименование характеристики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152C8C51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b/>
                <w:sz w:val="21"/>
                <w:szCs w:val="21"/>
                <w:lang w:eastAsia="en-US"/>
              </w:rPr>
            </w:pPr>
            <w:r>
              <w:rPr>
                <w:b/>
                <w:sz w:val="21"/>
                <w:szCs w:val="21"/>
                <w:lang w:eastAsia="en-US"/>
              </w:rPr>
              <w:t>Описание характеристики</w:t>
            </w:r>
          </w:p>
        </w:tc>
      </w:tr>
      <w:tr w14:paraId="3D8C47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19B3E093">
            <w:pPr>
              <w:widowControl w:val="0"/>
              <w:autoSpaceDE w:val="0"/>
              <w:autoSpaceDN w:val="0"/>
              <w:adjustRightInd w:val="0"/>
              <w:spacing w:line="276" w:lineRule="auto"/>
              <w:ind w:left="14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№ квартиры (строительный)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24BB3927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sz w:val="21"/>
                <w:szCs w:val="21"/>
                <w:lang w:eastAsia="en-US"/>
              </w:rPr>
            </w:pPr>
          </w:p>
        </w:tc>
      </w:tr>
      <w:tr w14:paraId="3F59A8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632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4992E05D">
            <w:pPr>
              <w:widowControl w:val="0"/>
              <w:autoSpaceDE w:val="0"/>
              <w:autoSpaceDN w:val="0"/>
              <w:adjustRightInd w:val="0"/>
              <w:spacing w:line="276" w:lineRule="auto"/>
              <w:ind w:left="14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pacing w:val="-2"/>
                <w:sz w:val="21"/>
                <w:szCs w:val="21"/>
                <w:lang w:eastAsia="en-US"/>
              </w:rPr>
              <w:t>Общая проектная площадь, с учетом лоджии с коэффициентом,  кв.м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22B61BEA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sz w:val="21"/>
                <w:szCs w:val="21"/>
                <w:lang w:eastAsia="en-US"/>
              </w:rPr>
            </w:pPr>
          </w:p>
        </w:tc>
      </w:tr>
      <w:tr w14:paraId="08D1B5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57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6DA0A981">
            <w:pPr>
              <w:widowControl w:val="0"/>
              <w:autoSpaceDE w:val="0"/>
              <w:autoSpaceDN w:val="0"/>
              <w:adjustRightInd w:val="0"/>
              <w:spacing w:line="276" w:lineRule="auto"/>
              <w:ind w:left="14"/>
              <w:jc w:val="both"/>
              <w:rPr>
                <w:spacing w:val="-2"/>
                <w:sz w:val="21"/>
                <w:szCs w:val="21"/>
                <w:lang w:eastAsia="en-US"/>
              </w:rPr>
            </w:pPr>
            <w:r>
              <w:rPr>
                <w:spacing w:val="-2"/>
                <w:sz w:val="21"/>
                <w:szCs w:val="21"/>
                <w:lang w:eastAsia="en-US"/>
              </w:rPr>
              <w:t>Общая проектная площадь, без учета лоджии,  кв.м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4793B69E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sz w:val="21"/>
                <w:szCs w:val="21"/>
                <w:lang w:eastAsia="en-US"/>
              </w:rPr>
            </w:pPr>
          </w:p>
        </w:tc>
      </w:tr>
      <w:tr w14:paraId="34D1AA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703B0A1E">
            <w:pPr>
              <w:widowControl w:val="0"/>
              <w:autoSpaceDE w:val="0"/>
              <w:autoSpaceDN w:val="0"/>
              <w:adjustRightInd w:val="0"/>
              <w:spacing w:line="276" w:lineRule="auto"/>
              <w:ind w:left="7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pacing w:val="-3"/>
                <w:sz w:val="21"/>
                <w:szCs w:val="21"/>
                <w:lang w:eastAsia="en-US"/>
              </w:rPr>
              <w:t>Жилая проектная площадь, кв.м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2400267F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sz w:val="21"/>
                <w:szCs w:val="21"/>
                <w:lang w:eastAsia="en-US"/>
              </w:rPr>
            </w:pPr>
          </w:p>
        </w:tc>
      </w:tr>
      <w:tr w14:paraId="1289ADB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6A956449">
            <w:pPr>
              <w:widowControl w:val="0"/>
              <w:autoSpaceDE w:val="0"/>
              <w:autoSpaceDN w:val="0"/>
              <w:adjustRightInd w:val="0"/>
              <w:spacing w:line="276" w:lineRule="auto"/>
              <w:ind w:left="14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Этаж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0035299A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sz w:val="21"/>
                <w:szCs w:val="21"/>
                <w:lang w:eastAsia="en-US"/>
              </w:rPr>
            </w:pPr>
          </w:p>
        </w:tc>
      </w:tr>
      <w:tr w14:paraId="28CE7C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6D95AB6">
            <w:pPr>
              <w:widowControl w:val="0"/>
              <w:autoSpaceDE w:val="0"/>
              <w:autoSpaceDN w:val="0"/>
              <w:adjustRightInd w:val="0"/>
              <w:spacing w:line="276" w:lineRule="auto"/>
              <w:ind w:left="7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Количество комнат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1B79C02F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sz w:val="21"/>
                <w:szCs w:val="21"/>
                <w:lang w:eastAsia="en-US"/>
              </w:rPr>
            </w:pPr>
          </w:p>
        </w:tc>
      </w:tr>
      <w:tr w14:paraId="7FA5C6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4865CA6">
            <w:pPr>
              <w:widowControl w:val="0"/>
              <w:autoSpaceDE w:val="0"/>
              <w:autoSpaceDN w:val="0"/>
              <w:adjustRightInd w:val="0"/>
              <w:spacing w:line="276" w:lineRule="auto"/>
              <w:ind w:left="7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Площадь гостиной, кв. 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019D03C1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sz w:val="21"/>
                <w:szCs w:val="21"/>
                <w:lang w:val="en-US" w:eastAsia="en-US"/>
              </w:rPr>
            </w:pPr>
          </w:p>
        </w:tc>
      </w:tr>
      <w:tr w14:paraId="1A71DB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5BBF51D">
            <w:pPr>
              <w:widowControl w:val="0"/>
              <w:autoSpaceDE w:val="0"/>
              <w:autoSpaceDN w:val="0"/>
              <w:adjustRightInd w:val="0"/>
              <w:spacing w:line="276" w:lineRule="auto"/>
              <w:ind w:left="7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Площадь спальни 1, кв. 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66B720CA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  <w:lang w:eastAsia="en-US"/>
              </w:rPr>
            </w:pPr>
          </w:p>
        </w:tc>
      </w:tr>
      <w:tr w14:paraId="61C03C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D032E5E">
            <w:pPr>
              <w:widowControl w:val="0"/>
              <w:autoSpaceDE w:val="0"/>
              <w:autoSpaceDN w:val="0"/>
              <w:adjustRightInd w:val="0"/>
              <w:spacing w:line="276" w:lineRule="auto"/>
              <w:ind w:left="7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Площадь спальни 2, кв. 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1E168A31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  <w:lang w:eastAsia="en-US"/>
              </w:rPr>
            </w:pPr>
          </w:p>
        </w:tc>
      </w:tr>
      <w:tr w14:paraId="28A27F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533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26E03416">
            <w:pPr>
              <w:widowControl w:val="0"/>
              <w:autoSpaceDE w:val="0"/>
              <w:autoSpaceDN w:val="0"/>
              <w:adjustRightInd w:val="0"/>
              <w:spacing w:line="276" w:lineRule="auto"/>
              <w:ind w:left="7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Площадь кухни  (кухни-ниши) (кухня-столовая), кв. 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023AE652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sz w:val="21"/>
                <w:szCs w:val="21"/>
                <w:lang w:eastAsia="en-US"/>
              </w:rPr>
            </w:pPr>
          </w:p>
        </w:tc>
      </w:tr>
      <w:tr w14:paraId="0E3FBC1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CFC75F0">
            <w:pPr>
              <w:widowControl w:val="0"/>
              <w:autoSpaceDE w:val="0"/>
              <w:autoSpaceDN w:val="0"/>
              <w:adjustRightInd w:val="0"/>
              <w:spacing w:line="276" w:lineRule="auto"/>
              <w:ind w:left="7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Площадь санузла 1, кв.м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7C456BA6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sz w:val="21"/>
                <w:szCs w:val="21"/>
                <w:lang w:eastAsia="en-US"/>
              </w:rPr>
            </w:pPr>
          </w:p>
        </w:tc>
      </w:tr>
      <w:tr w14:paraId="31BF89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3E1E75EC">
            <w:pPr>
              <w:widowControl w:val="0"/>
              <w:autoSpaceDE w:val="0"/>
              <w:autoSpaceDN w:val="0"/>
              <w:adjustRightInd w:val="0"/>
              <w:spacing w:line="276" w:lineRule="auto"/>
              <w:ind w:left="7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Площадь санузла 2, кв.м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319EBCD8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  <w:lang w:eastAsia="en-US"/>
              </w:rPr>
            </w:pPr>
            <w:r>
              <w:rPr>
                <w:color w:val="212121"/>
                <w:sz w:val="21"/>
                <w:szCs w:val="21"/>
                <w:shd w:val="clear" w:color="auto" w:fill="FFFFFF"/>
                <w:lang w:eastAsia="en-US"/>
              </w:rPr>
              <w:t>0</w:t>
            </w:r>
          </w:p>
        </w:tc>
      </w:tr>
      <w:tr w14:paraId="1CDC17B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1C129310">
            <w:pPr>
              <w:widowControl w:val="0"/>
              <w:autoSpaceDE w:val="0"/>
              <w:autoSpaceDN w:val="0"/>
              <w:adjustRightInd w:val="0"/>
              <w:spacing w:line="276" w:lineRule="auto"/>
              <w:ind w:left="7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Площадь прихожей, кв.м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0FA08A08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sz w:val="21"/>
                <w:szCs w:val="21"/>
                <w:lang w:val="en-US" w:eastAsia="en-US"/>
              </w:rPr>
            </w:pPr>
          </w:p>
        </w:tc>
      </w:tr>
      <w:tr w14:paraId="71E82F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4287AEC3">
            <w:pPr>
              <w:widowControl w:val="0"/>
              <w:autoSpaceDE w:val="0"/>
              <w:autoSpaceDN w:val="0"/>
              <w:adjustRightInd w:val="0"/>
              <w:spacing w:line="276" w:lineRule="auto"/>
              <w:ind w:left="7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Площадь коридора 1, кв.м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6A484767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  <w:lang w:eastAsia="en-US"/>
              </w:rPr>
            </w:pPr>
          </w:p>
        </w:tc>
      </w:tr>
      <w:tr w14:paraId="46A759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  <w:vAlign w:val="center"/>
          </w:tcPr>
          <w:p w14:paraId="73630B59">
            <w:pPr>
              <w:widowControl w:val="0"/>
              <w:autoSpaceDE w:val="0"/>
              <w:autoSpaceDN w:val="0"/>
              <w:adjustRightInd w:val="0"/>
              <w:spacing w:line="276" w:lineRule="auto"/>
              <w:ind w:left="7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Площадь коридора 2, кв.м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39B7438D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color w:val="212121"/>
                <w:sz w:val="21"/>
                <w:szCs w:val="21"/>
                <w:shd w:val="clear" w:color="auto" w:fill="FFFFFF"/>
                <w:lang w:eastAsia="en-US"/>
              </w:rPr>
            </w:pPr>
          </w:p>
        </w:tc>
      </w:tr>
      <w:tr w14:paraId="1C8DAA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40" w:type="dxa"/>
            <w:bottom w:w="0" w:type="dxa"/>
            <w:right w:w="40" w:type="dxa"/>
          </w:tblCellMar>
        </w:tblPrEx>
        <w:trPr>
          <w:trHeight w:val="320" w:hRule="exact"/>
        </w:trPr>
        <w:tc>
          <w:tcPr>
            <w:tcW w:w="395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1D23748E">
            <w:pPr>
              <w:widowControl w:val="0"/>
              <w:autoSpaceDE w:val="0"/>
              <w:autoSpaceDN w:val="0"/>
              <w:adjustRightInd w:val="0"/>
              <w:spacing w:line="276" w:lineRule="auto"/>
              <w:ind w:left="102" w:hanging="88"/>
              <w:jc w:val="both"/>
              <w:rPr>
                <w:sz w:val="21"/>
                <w:szCs w:val="21"/>
                <w:lang w:eastAsia="en-US"/>
              </w:rPr>
            </w:pPr>
            <w:r>
              <w:rPr>
                <w:sz w:val="21"/>
                <w:szCs w:val="21"/>
                <w:lang w:eastAsia="en-US"/>
              </w:rPr>
              <w:t>Площадь лоджии (с коэф. 0,5), кв. м</w:t>
            </w:r>
          </w:p>
        </w:tc>
        <w:tc>
          <w:tcPr>
            <w:tcW w:w="510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FFFFF"/>
          </w:tcPr>
          <w:p w14:paraId="743B2880">
            <w:pPr>
              <w:widowControl w:val="0"/>
              <w:autoSpaceDE w:val="0"/>
              <w:autoSpaceDN w:val="0"/>
              <w:adjustRightInd w:val="0"/>
              <w:spacing w:line="276" w:lineRule="auto"/>
              <w:ind w:left="482"/>
              <w:jc w:val="center"/>
              <w:rPr>
                <w:sz w:val="21"/>
                <w:szCs w:val="21"/>
                <w:lang w:eastAsia="en-US"/>
              </w:rPr>
            </w:pPr>
          </w:p>
        </w:tc>
      </w:tr>
    </w:tbl>
    <w:p w14:paraId="01C6DEAA">
      <w:pPr>
        <w:pStyle w:val="23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14:paraId="4558D076">
      <w:pPr>
        <w:pStyle w:val="23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План помещения указан в Приложении №1 к настоящему договору.</w:t>
      </w:r>
    </w:p>
    <w:p w14:paraId="7B421B41">
      <w:pPr>
        <w:pStyle w:val="23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Помещение будет передаваться с отделкой согласно паспорта отделки (Приложение №2 к настоящему договору).</w:t>
      </w:r>
    </w:p>
    <w:p w14:paraId="321C7C08">
      <w:pPr>
        <w:pStyle w:val="23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Общая площадь Помещения определена предварительно согласно проекту на Дом и может быть уточнена после проведения технической инвентаризации, что не влечет изменения условий настоящего договора.</w:t>
      </w:r>
    </w:p>
    <w:p w14:paraId="09CF1CA5">
      <w:pPr>
        <w:pStyle w:val="23"/>
        <w:widowControl/>
        <w:numPr>
          <w:ilvl w:val="1"/>
          <w:numId w:val="2"/>
        </w:numPr>
        <w:tabs>
          <w:tab w:val="left" w:pos="1134"/>
        </w:tabs>
        <w:ind w:left="0"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 w:val="21"/>
          <w:szCs w:val="21"/>
        </w:rPr>
        <w:t xml:space="preserve">Право собственности на Помещение возникает у Участника долевого строительства с момента государственной регистрации указанного права в порядке, установленном действующим законодательством Российской Федерации. Право собственности на Помещение и общее имущество Дома будет оформляться силами Участника долевого строительства самостоятельно. Основанием для государственной регистрации права собственности Участника долевого строительства на Помещение является разрешение на ввод Дома в эксплуатацию и передаточный акт о передаче Помещения Участнику долевого строительства. При возникновении права собственности на Помещение одновременно возникает право общей долевой собственности на общее имущество в Доме, которое не может быть отчуждено или передано отдельно от права собственности на Помещение. </w:t>
      </w:r>
      <w:r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Общее имущество – </w:t>
      </w:r>
      <w:r>
        <w:rPr>
          <w:rFonts w:ascii="Times New Roman" w:hAnsi="Times New Roman" w:cs="Times New Roman"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 помещения, не являющиеся частями квартир и предназначенные для обслуживания более одной квартиры в Доме, в которых располагаются:  </w:t>
      </w:r>
      <w:r>
        <w:rPr>
          <w:rFonts w:ascii="Times New Roman" w:hAnsi="Times New Roman" w:cs="Times New Roman"/>
          <w:bCs/>
          <w:spacing w:val="-1"/>
          <w:sz w:val="21"/>
          <w:szCs w:val="21"/>
        </w:rPr>
        <w:t>электрощитовая, тепловой  узел, водомерный узел, узел пожарной сигнализации, пожарный насос</w:t>
      </w:r>
      <w:r>
        <w:rPr>
          <w:rFonts w:ascii="Times New Roman" w:hAnsi="Times New Roman" w:cs="Times New Roman"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 или иное оборудование, а также крыша</w:t>
      </w:r>
      <w:r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, ограждающие несущие и ненесущие конструкции данного Дома, межквартирные лестничные площадки, лестницы</w:t>
      </w:r>
      <w:r>
        <w:rPr>
          <w:rFonts w:ascii="Times New Roman" w:hAnsi="Times New Roman" w:cs="Times New Roman"/>
          <w:sz w:val="21"/>
          <w:szCs w:val="21"/>
        </w:rPr>
        <w:t xml:space="preserve">, лифты, лифтовые </w:t>
      </w:r>
      <w:r>
        <w:rPr>
          <w:rFonts w:ascii="Times New Roman" w:hAnsi="Times New Roman" w:cs="Times New Roman"/>
          <w:bCs/>
          <w:spacing w:val="-1"/>
          <w:sz w:val="21"/>
          <w:szCs w:val="21"/>
        </w:rPr>
        <w:t xml:space="preserve">шахты, машинное отделение, внеквартирные коридоры, КУИ, воздушные зоны, тамбуры, техническое подполье, технический этаж (чердак),  </w:t>
      </w:r>
      <w:r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земельный участок, на котором расположен данный Дом, с элементами озеленения и благоустройства.</w:t>
      </w:r>
    </w:p>
    <w:p w14:paraId="698AA255">
      <w:pPr>
        <w:pStyle w:val="23"/>
        <w:widowControl/>
        <w:tabs>
          <w:tab w:val="left" w:pos="1134"/>
        </w:tabs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К общему имуществу не относятся инженерные сети (оборудование), предназначенные для облуживания Дома, расположенные от внешних стен Дома в пределах границ земельного участка, на котором осуществляется строительство.</w:t>
      </w:r>
    </w:p>
    <w:p w14:paraId="06828028">
      <w:pPr>
        <w:pStyle w:val="23"/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1.6. Указанный в п. 1.1. настоящего Договора адрес Дома является строительным адресом. После приемки и ввода строящегося Дома в эксплуатацию ему будет присвоен почтовый адрес, что не влечет изменения условий настоящего договора.</w:t>
      </w:r>
    </w:p>
    <w:p w14:paraId="577B39E0">
      <w:pPr>
        <w:pStyle w:val="23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14:paraId="2D681AD2">
      <w:pPr>
        <w:pStyle w:val="23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2. ЮРИДИЧЕСКИЕ ОСНОВАНИЯ К ЗАКЛЮЧЕНИЮ ДОГОВОРА.</w:t>
      </w:r>
    </w:p>
    <w:p w14:paraId="0DD9B8F8">
      <w:pPr>
        <w:pStyle w:val="23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ГАРАНТИИ ЗАСТРОЙЩИКА</w:t>
      </w:r>
    </w:p>
    <w:p w14:paraId="7499AAED">
      <w:pPr>
        <w:pStyle w:val="23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2.1. При заключении настоящего Договора Застройщик предоставляет Участнику долевого строительства все гарантии, предусмотренные нормами действующего законодательства РФ.</w:t>
      </w:r>
    </w:p>
    <w:p w14:paraId="463F4613">
      <w:pPr>
        <w:pStyle w:val="23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2.2. Все необходимые для заключения и исполнения настоящего Договора лицензии, разрешения и/или иные документы и/или договоры от соответствующих и уполномоченных на их предоставление государственных органов/лиц Застройщиком получены/заключены, являются юридически действительными и вступившими в силу.</w:t>
      </w:r>
    </w:p>
    <w:p w14:paraId="04702A09">
      <w:pPr>
        <w:pStyle w:val="23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  2.3. Застройщик располагает всеми необходимыми юридически действительными правами и полномочиями, разрешениями и документами, а именно:</w:t>
      </w:r>
    </w:p>
    <w:p w14:paraId="5E095AA8">
      <w:pPr>
        <w:pStyle w:val="23"/>
        <w:widowControl/>
        <w:ind w:firstLine="540"/>
        <w:jc w:val="both"/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</w:pPr>
      <w:r>
        <w:rPr>
          <w:rFonts w:ascii="Times New Roman" w:hAnsi="Times New Roman" w:cs="Times New Roman"/>
          <w:sz w:val="21"/>
          <w:szCs w:val="21"/>
        </w:rPr>
        <w:t xml:space="preserve">- </w:t>
      </w:r>
      <w:r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разрешением на строительство № 42-04-20-2025 от 06.06.2025 года;</w:t>
      </w:r>
    </w:p>
    <w:p w14:paraId="27E7D27F">
      <w:pPr>
        <w:pStyle w:val="23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- право аренды на Земельный участок, принадлежащий Застройщику на основании: </w:t>
      </w:r>
    </w:p>
    <w:p w14:paraId="03832875">
      <w:pPr>
        <w:pStyle w:val="23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- договора субаренды земельных участков в границах микрорайона №64 Ленинского района г. Кемерово, выдан 02.04.2024, дата государственной регистрации: 11.04.2024, номер государственной регистрации: 42:04:0349002:4789-42/076/2024-5 </w:t>
      </w:r>
    </w:p>
    <w:p w14:paraId="59B3CD92">
      <w:pPr>
        <w:pStyle w:val="22"/>
        <w:widowControl w:val="0"/>
        <w:autoSpaceDE w:val="0"/>
        <w:autoSpaceDN w:val="0"/>
        <w:adjustRightInd w:val="0"/>
        <w:ind w:left="0" w:firstLine="567"/>
        <w:jc w:val="both"/>
        <w:rPr>
          <w:sz w:val="21"/>
          <w:szCs w:val="21"/>
        </w:rPr>
      </w:pPr>
      <w:r>
        <w:rPr>
          <w:sz w:val="21"/>
          <w:szCs w:val="21"/>
        </w:rPr>
        <w:t>- иными документами, которые могут быть представлены для ознакомления Участнику долевого строительства.</w:t>
      </w:r>
    </w:p>
    <w:p w14:paraId="61E2354D">
      <w:pPr>
        <w:widowControl w:val="0"/>
        <w:autoSpaceDE w:val="0"/>
        <w:autoSpaceDN w:val="0"/>
        <w:adjustRightInd w:val="0"/>
        <w:ind w:firstLine="539"/>
        <w:jc w:val="both"/>
        <w:rPr>
          <w:sz w:val="21"/>
          <w:szCs w:val="21"/>
        </w:rPr>
      </w:pPr>
      <w:r>
        <w:rPr>
          <w:sz w:val="21"/>
          <w:szCs w:val="21"/>
        </w:rPr>
        <w:t>2.4.  Исполнение обязательств Застройщика по передаче помещений Участнику долевого строительства с момента государственной регистрации настоящего договора обеспечивается:</w:t>
      </w:r>
    </w:p>
    <w:p w14:paraId="3E23ADF4">
      <w:pPr>
        <w:autoSpaceDE w:val="0"/>
        <w:autoSpaceDN w:val="0"/>
        <w:adjustRightInd w:val="0"/>
        <w:jc w:val="both"/>
        <w:rPr>
          <w:color w:val="000000" w:themeColor="text1"/>
          <w:sz w:val="21"/>
          <w:szCs w:val="21"/>
          <w:lang w:eastAsia="en-US"/>
          <w14:textFill>
            <w14:solidFill>
              <w14:schemeClr w14:val="tx1"/>
            </w14:solidFill>
          </w14:textFill>
        </w:rPr>
      </w:pPr>
      <w:r>
        <w:rPr>
          <w:sz w:val="21"/>
          <w:szCs w:val="21"/>
          <w:lang w:eastAsia="en-US"/>
        </w:rPr>
        <w:t xml:space="preserve">         2</w:t>
      </w:r>
      <w:r>
        <w:rPr>
          <w:color w:val="000000" w:themeColor="text1"/>
          <w:sz w:val="21"/>
          <w:szCs w:val="21"/>
          <w:lang w:eastAsia="en-US"/>
          <w14:textFill>
            <w14:solidFill>
              <w14:schemeClr w14:val="tx1"/>
            </w14:solidFill>
          </w14:textFill>
        </w:rPr>
        <w:t>.4.1. размещением денежных средств участников долевого строительства на счетах эскроу.</w:t>
      </w:r>
    </w:p>
    <w:p w14:paraId="79D54174">
      <w:pPr>
        <w:autoSpaceDE w:val="0"/>
        <w:autoSpaceDN w:val="0"/>
        <w:adjustRightInd w:val="0"/>
        <w:jc w:val="both"/>
        <w:rPr>
          <w:color w:val="000000" w:themeColor="text1"/>
          <w:sz w:val="21"/>
          <w:szCs w:val="21"/>
          <w:lang w:eastAsia="en-US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1"/>
          <w:szCs w:val="21"/>
          <w:lang w:eastAsia="en-US"/>
          <w14:textFill>
            <w14:solidFill>
              <w14:schemeClr w14:val="tx1"/>
            </w14:solidFill>
          </w14:textFill>
        </w:rPr>
        <w:t xml:space="preserve">         2.5. На земельном участке с кадастровым номером 42:04:0349002:4644 планируется строительство пяти жилых домов.</w:t>
      </w:r>
    </w:p>
    <w:p w14:paraId="053CFADA">
      <w:pPr>
        <w:pStyle w:val="22"/>
        <w:widowControl w:val="0"/>
        <w:autoSpaceDE w:val="0"/>
        <w:autoSpaceDN w:val="0"/>
        <w:adjustRightInd w:val="0"/>
        <w:ind w:left="0"/>
        <w:jc w:val="both"/>
        <w:rPr>
          <w:sz w:val="21"/>
          <w:szCs w:val="21"/>
        </w:rPr>
      </w:pPr>
    </w:p>
    <w:p w14:paraId="0F702C7A">
      <w:pPr>
        <w:pStyle w:val="23"/>
        <w:widowControl/>
        <w:numPr>
          <w:ilvl w:val="0"/>
          <w:numId w:val="3"/>
        </w:numPr>
        <w:ind w:left="0"/>
        <w:jc w:val="center"/>
        <w:rPr>
          <w:rFonts w:ascii="Times New Roman" w:hAnsi="Times New Roman" w:cs="Times New Roman"/>
          <w:b/>
          <w:sz w:val="21"/>
          <w:szCs w:val="21"/>
          <w:lang w:val="en-US"/>
        </w:rPr>
      </w:pPr>
      <w:r>
        <w:rPr>
          <w:rFonts w:ascii="Times New Roman" w:hAnsi="Times New Roman" w:cs="Times New Roman"/>
          <w:b/>
          <w:sz w:val="21"/>
          <w:szCs w:val="21"/>
        </w:rPr>
        <w:t>ЦЕНА ДОГОВОРА</w:t>
      </w:r>
    </w:p>
    <w:p w14:paraId="5D670F66">
      <w:pPr>
        <w:pStyle w:val="23"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3.1. Цена настоящего Договора, то есть размер денежных средств, подлежащих уплате Участником долевого строительства Застройщику, составляет __________</w:t>
      </w:r>
      <w:r>
        <w:rPr>
          <w:rFonts w:ascii="Times New Roman" w:hAnsi="Times New Roman" w:cs="Times New Roman"/>
          <w:b/>
          <w:bCs/>
          <w:sz w:val="21"/>
          <w:szCs w:val="21"/>
        </w:rPr>
        <w:t>(_________________) рубль 00 копеек</w:t>
      </w:r>
      <w:r>
        <w:rPr>
          <w:rFonts w:ascii="Times New Roman" w:hAnsi="Times New Roman" w:cs="Times New Roman"/>
          <w:b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, НДС не предусмотрен. </w:t>
      </w:r>
    </w:p>
    <w:p w14:paraId="55C6960B">
      <w:pPr>
        <w:pStyle w:val="23"/>
        <w:widowControl/>
        <w:shd w:val="clear" w:color="auto" w:fill="FFFFFF" w:themeFill="background1"/>
        <w:ind w:firstLine="540"/>
        <w:jc w:val="both"/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 w:val="21"/>
          <w:szCs w:val="21"/>
        </w:rPr>
        <w:t xml:space="preserve">3.2. Цена настоящего Договора является окончательной и может быть изменена </w:t>
      </w:r>
      <w:r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только путем подписания Сторонами дополнительного соглашения к настоящему договору.</w:t>
      </w:r>
    </w:p>
    <w:p w14:paraId="3E77039B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3.3 Допустимое изменение площади Помещения по настоящему договору составляет 5% (пять процентов) как в сторону увеличения, так и в сторону уменьшения площади Помещения. В случае изменения площади Помещения в пределах допустимого изменения площади, установленной настоящим договором, цена настоящего Договора изменению не подлежит. </w:t>
      </w:r>
    </w:p>
    <w:p w14:paraId="76D22274">
      <w:pPr>
        <w:shd w:val="clear" w:color="auto" w:fill="FFFFFF"/>
        <w:tabs>
          <w:tab w:val="left" w:pos="0"/>
          <w:tab w:val="left" w:pos="567"/>
        </w:tabs>
        <w:ind w:firstLine="567"/>
        <w:jc w:val="both"/>
        <w:rPr>
          <w:sz w:val="21"/>
          <w:szCs w:val="21"/>
        </w:rPr>
      </w:pPr>
      <w:r>
        <w:rPr>
          <w:spacing w:val="-6"/>
          <w:sz w:val="21"/>
          <w:szCs w:val="21"/>
        </w:rPr>
        <w:t xml:space="preserve">3.4.  </w:t>
      </w:r>
      <w:r>
        <w:rPr>
          <w:spacing w:val="-1"/>
          <w:sz w:val="21"/>
          <w:szCs w:val="21"/>
        </w:rPr>
        <w:t xml:space="preserve">Цена Договора включает в себя затраты Застройщика на строительство Помещения, мест </w:t>
      </w:r>
      <w:r>
        <w:rPr>
          <w:sz w:val="21"/>
          <w:szCs w:val="21"/>
        </w:rPr>
        <w:t>общего пользования в составе общего имущества, внешних и внутренних инженерных сетей, благоустройство прилегающей к Дому территории, на выполнение</w:t>
      </w:r>
      <w:r>
        <w:rPr>
          <w:spacing w:val="-2"/>
          <w:sz w:val="21"/>
          <w:szCs w:val="21"/>
        </w:rPr>
        <w:t xml:space="preserve"> работ по возведению лоджий (балконов), иных работ, необходимых для ввода Дома в эксплуатацию и передачи Участнику</w:t>
      </w:r>
      <w:r>
        <w:rPr>
          <w:sz w:val="21"/>
          <w:szCs w:val="21"/>
        </w:rPr>
        <w:t xml:space="preserve"> долевого строительства Помещения (объекта долевого строительства), а </w:t>
      </w:r>
      <w:r>
        <w:rPr>
          <w:spacing w:val="-3"/>
          <w:sz w:val="21"/>
          <w:szCs w:val="21"/>
        </w:rPr>
        <w:t xml:space="preserve">также  затраты  </w:t>
      </w:r>
      <w:r>
        <w:rPr>
          <w:sz w:val="21"/>
          <w:szCs w:val="21"/>
        </w:rPr>
        <w:t xml:space="preserve">по целевому кредиту на строительство (создание) Дома, в том числе проценты и иные платежи, </w:t>
      </w:r>
      <w:r>
        <w:rPr>
          <w:spacing w:val="-3"/>
          <w:sz w:val="21"/>
          <w:szCs w:val="21"/>
        </w:rPr>
        <w:t xml:space="preserve"> затраты на оплату услуг Застройщика. </w:t>
      </w:r>
    </w:p>
    <w:p w14:paraId="7680B17A">
      <w:pPr>
        <w:shd w:val="clear" w:color="auto" w:fill="FFFFFF"/>
        <w:tabs>
          <w:tab w:val="left" w:pos="567"/>
        </w:tabs>
        <w:ind w:firstLine="426"/>
        <w:jc w:val="both"/>
        <w:rPr>
          <w:sz w:val="21"/>
          <w:szCs w:val="21"/>
        </w:rPr>
      </w:pPr>
      <w:r>
        <w:rPr>
          <w:spacing w:val="-1"/>
          <w:sz w:val="21"/>
          <w:szCs w:val="21"/>
        </w:rPr>
        <w:t xml:space="preserve">Экономия денежных средств, полученных от Участника долевого строительства в качестве </w:t>
      </w:r>
      <w:r>
        <w:rPr>
          <w:sz w:val="21"/>
          <w:szCs w:val="21"/>
        </w:rPr>
        <w:t>финансирования Помещения (объекта долевого строительства), образовавшаяся в виде разницы между ценой Договора и фактическими затратами на строительство Помещения (объекта долевого строительства), по окончании строительства и его передаче, остается в распоряжении Застройщика. Застройщик сохраняет право на получение полной цены Договора.</w:t>
      </w:r>
    </w:p>
    <w:p w14:paraId="4225808B">
      <w:pPr>
        <w:pStyle w:val="23"/>
        <w:widowControl/>
        <w:tabs>
          <w:tab w:val="left" w:pos="709"/>
          <w:tab w:val="left" w:pos="993"/>
        </w:tabs>
        <w:ind w:right="-1" w:firstLine="567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33C12BA4">
      <w:pPr>
        <w:pStyle w:val="23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ПОРЯДОК РАСЧЕТОВ</w:t>
      </w:r>
    </w:p>
    <w:p w14:paraId="66BB06F7">
      <w:pPr>
        <w:pStyle w:val="23"/>
        <w:numPr>
          <w:ilvl w:val="1"/>
          <w:numId w:val="4"/>
        </w:numPr>
        <w:ind w:left="0"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Участник долевого строительства обязуется внести денежные средства </w:t>
      </w:r>
      <w:r>
        <w:rPr>
          <w:rFonts w:ascii="Times New Roman" w:hAnsi="Times New Roman" w:cs="Times New Roman"/>
          <w:sz w:val="21"/>
          <w:szCs w:val="21"/>
        </w:rPr>
        <w:t xml:space="preserve">позднее _________(___________) рабочих дней с момента государственной регистрации настоящего договора в Управлении Федеральной службы государственной регистрации, кадастра и картографии по Кемеровской области-Кузбасс,  в счет уплаты цены настоящего Договора участия в долевом строительстве  жилья </w:t>
      </w:r>
      <w:r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на специальный счет эскроу, открываемый  в банке (эскроу-агенте) по договору счета эскроу, заключаемому для учета и блокирования денежных средств, полученных банком от являющегося  владельцем счета Участника (депонента) в счет уплаты цены Договора участия в долевом строительстве, в целях их перечисления  Застройщику (бенефициару),  на следующих условиях:</w:t>
      </w:r>
    </w:p>
    <w:p w14:paraId="3007166F">
      <w:pPr>
        <w:pStyle w:val="23"/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Депонируемая сумма: __________ (______________) рублей 00 копеек, НДС не предусмотрен.</w:t>
      </w:r>
    </w:p>
    <w:p w14:paraId="1AF47EF6">
      <w:pPr>
        <w:pStyle w:val="23"/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Бенефициар: Общество с ограниченной ответственностью Специализированный застройщик «СДС-Финанс».</w:t>
      </w:r>
    </w:p>
    <w:p w14:paraId="30B766A7">
      <w:pPr>
        <w:pStyle w:val="23"/>
        <w:widowControl/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Депонент: ____________________________.</w:t>
      </w:r>
    </w:p>
    <w:p w14:paraId="06E9F2DB">
      <w:pPr>
        <w:pStyle w:val="23"/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Уполномоченный банк (эскроу-агент): Банк ВТБ (публичное акционерное общество), Банк ВТБ (ПАО),  адрес места нахождения: 191144, город Санкт-Петербург, Дегтярный переулок, дом 11, литер А, почтовый адрес: ВТБ (ПАО), г. Москва, 109147 ул. Воронцовская, д.43, стр.1,  кор/счет в ГУ Банка России по Центральному федеральному округу К/с 30101810700000000187, ИНН 7702070139, адрес электронной почты – Schet_escrow@vtb.ru,  номер телефона 8-800-100-24-24; </w:t>
      </w:r>
    </w:p>
    <w:p w14:paraId="58167B65">
      <w:pPr>
        <w:pStyle w:val="23"/>
        <w:widowControl/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Срок условного депонирования </w:t>
      </w:r>
      <w:r>
        <w:rPr>
          <w:rFonts w:ascii="Times New Roman" w:hAnsi="Times New Roman" w:cs="Times New Roman"/>
          <w:b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05 декабря 2028 года </w:t>
      </w:r>
      <w:r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единый для всех Участников долевого строительства. </w:t>
      </w:r>
    </w:p>
    <w:p w14:paraId="7188C89A">
      <w:pPr>
        <w:pStyle w:val="23"/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Реквизиты расчетного счета Бенефициара, на который Банк ВТБ (ПАО) переводит денежные средства со счета эскроу при наступлении оснований, предусмотренных Договором счета эскроу: р/с 40702810012410001117  в  Банке ВТБ (ПАО),   кор/счет в ГУ Банка России по Центральному федеральному округу 30101810145250000411, К/с  БИК 044525411. </w:t>
      </w:r>
    </w:p>
    <w:p w14:paraId="27849FE7">
      <w:pPr>
        <w:pStyle w:val="23"/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Объект долевого строительства, подлежащее передаче Участнику долевого строительства, указано в п. 1.4. настоящего Договора. </w:t>
      </w:r>
    </w:p>
    <w:p w14:paraId="25F72062">
      <w:pPr>
        <w:pStyle w:val="23"/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Основания перечисления Застройщику (бенефициару) депонированной суммы: при наступлении условий, предусмотренных Федеральным законом от 30.12.2004 №214-ФЗ  «Об участии в долевом строительстве многоквартирных домов и иных объектов недвижимости»</w:t>
      </w:r>
    </w:p>
    <w:p w14:paraId="14A223AD">
      <w:pPr>
        <w:pStyle w:val="23"/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Бенефициар и Депонент предлагают (адресуют оферту) Банку ВТБ (ПАО) заключить трехсторонний Договор счета эскроу на условиях Правил совершения операций по счетам эскроу физических лиц в Банке ВТБ (ПАО), открытым для расчетов по договорам об участии в долевом строительстве, разработанных Банком ВТБ (ПАО) и размещенных на официальном интернет-сайте Банка ВТБ (ПАО) по адресу www.vtb.ru (далее – Правила).</w:t>
      </w:r>
    </w:p>
    <w:p w14:paraId="2B3F4FAF">
      <w:pPr>
        <w:pStyle w:val="23"/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Бенефициар поручает (предоставляет полномочия) Депоненту передать Банку ВТБ (ПАО) Договор участия в строительстве, заключенный (зарегистрированный) в установленном действующим законодательством порядке, в качестве документа, содержащего оферту Бенефициара о заключении Договора счета эскроу. </w:t>
      </w:r>
    </w:p>
    <w:p w14:paraId="36E0AA04">
      <w:pPr>
        <w:pStyle w:val="23"/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4.2. Обязанность Участника долевого строительства по уплате обусловленной Договором цены считается исполненной с момента поступления денежных средств на открытый в уполномоченном банке счет эскроу.</w:t>
      </w:r>
    </w:p>
    <w:p w14:paraId="63E73331">
      <w:pPr>
        <w:pStyle w:val="23"/>
        <w:ind w:firstLine="567"/>
        <w:jc w:val="both"/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4.3. Проценты на сумму денежных средств, находящихся на счете эскроу, не начисляются. Вознаграждение уполномоченному банку, являющемуся эскроу-агентом по счету эскроу, не выплачивается.</w:t>
      </w:r>
    </w:p>
    <w:p w14:paraId="37A3D38A">
      <w:pPr>
        <w:pStyle w:val="22"/>
        <w:ind w:left="0" w:firstLine="567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4.4. </w:t>
      </w:r>
      <w:r>
        <w:rPr>
          <w:rFonts w:hint="default"/>
          <w:sz w:val="21"/>
          <w:szCs w:val="21"/>
          <w:lang w:val="ru-RU"/>
        </w:rPr>
        <w:t xml:space="preserve"> </w:t>
      </w:r>
      <w:r>
        <w:rPr>
          <w:sz w:val="21"/>
          <w:szCs w:val="21"/>
        </w:rPr>
        <w:t xml:space="preserve">Настоящим Участник долевого строительства подтверждает, что не позднее 1 (одного) рабочего дня с момента подписания настоящего Договора  предоставит в Банк ВТБ (ПАО) заявление на открытие счета эскроу, а также документы, необходимые для его открытия в соответствии с Общими условиями открытия и обслуживания счета эскроу. </w:t>
      </w:r>
    </w:p>
    <w:p w14:paraId="3762DCBD">
      <w:pPr>
        <w:pStyle w:val="23"/>
        <w:widowControl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65E85F53">
      <w:pPr>
        <w:pStyle w:val="23"/>
        <w:ind w:firstLine="539"/>
        <w:jc w:val="both"/>
        <w:rPr>
          <w:b/>
          <w:sz w:val="21"/>
          <w:szCs w:val="21"/>
        </w:rPr>
      </w:pPr>
    </w:p>
    <w:p w14:paraId="1E9DDAEE">
      <w:pPr>
        <w:pStyle w:val="22"/>
        <w:numPr>
          <w:ilvl w:val="0"/>
          <w:numId w:val="3"/>
        </w:num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ПРАВА И ОБЯЗАННОСТИ ЗАСТРОЙЩИКА</w:t>
      </w:r>
    </w:p>
    <w:p w14:paraId="28E4A5E4">
      <w:pPr>
        <w:pStyle w:val="23"/>
        <w:widowControl/>
        <w:ind w:firstLine="540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Застройщик обязуется:</w:t>
      </w:r>
    </w:p>
    <w:p w14:paraId="66BCF5F7">
      <w:pPr>
        <w:pStyle w:val="23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5.1. Осуществить подачу настоящего договора в форме электронного документа в регистрационный орган для государственной регистрации.</w:t>
      </w:r>
    </w:p>
    <w:p w14:paraId="7A34F246">
      <w:pPr>
        <w:pStyle w:val="23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5.2. Обеспечить строительство Дома  и выполнение своими силами или с привлечением третьих лиц всех работ по строительству Дома в полном объеме и по благоустройству территории домовладения по адресу, указанному в п. 1.1. настоящего Договора, включая все работы, предусмотренные проектной документацией, а также иные работы, не упомянутые в этих документах, но необходимые для сооружения Дома (включая Помещение в нем) и его ввода в эксплуатацию в установленном законодательством РФ порядке.</w:t>
      </w:r>
    </w:p>
    <w:p w14:paraId="5C3F56B2">
      <w:pPr>
        <w:pStyle w:val="23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5.3. Осуществлять взаимодействие с органами государственной власти и муниципальными органами, в том числе с органами надзора и контроля, по вопросам, связанным со строительством (созданием) Дома и входящими в рамки принятых обязательств по настоящему договору.</w:t>
      </w:r>
    </w:p>
    <w:p w14:paraId="04EDE0D4">
      <w:pPr>
        <w:pStyle w:val="23"/>
        <w:widowControl/>
        <w:ind w:firstLine="540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5.4. Завершить строительство Дома и ввести его в эксплуатацию в срок не позднее 06.06.2028.</w:t>
      </w:r>
    </w:p>
    <w:p w14:paraId="34D6E9A7">
      <w:pPr>
        <w:pStyle w:val="23"/>
        <w:widowControl/>
        <w:ind w:firstLine="540"/>
        <w:jc w:val="both"/>
        <w:rPr>
          <w:rFonts w:ascii="Times New Roman" w:hAnsi="Times New Roman" w:cs="Times New Roman"/>
          <w:color w:val="FF0000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5.5. Передать Участнику долевого строительства Помещение в срок не позднее 06 декабря 2028 года.</w:t>
      </w:r>
      <w:r>
        <w:rPr>
          <w:rFonts w:ascii="Times New Roman" w:hAnsi="Times New Roman" w:cs="Times New Roman"/>
          <w:color w:val="FF0000"/>
          <w:sz w:val="21"/>
          <w:szCs w:val="21"/>
        </w:rPr>
        <w:t xml:space="preserve"> </w:t>
      </w:r>
    </w:p>
    <w:p w14:paraId="33CE6DD5">
      <w:pPr>
        <w:pStyle w:val="23"/>
        <w:widowControl/>
        <w:ind w:firstLine="540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5.6. Передача Помещения осуществляется  в порядке, установленном разделом 7 настоящего Договора</w:t>
      </w:r>
      <w:r>
        <w:rPr>
          <w:rFonts w:ascii="Times New Roman" w:hAnsi="Times New Roman" w:cs="Times New Roman"/>
          <w:b/>
          <w:sz w:val="21"/>
          <w:szCs w:val="21"/>
        </w:rPr>
        <w:t xml:space="preserve">. </w:t>
      </w:r>
      <w:r>
        <w:rPr>
          <w:rFonts w:ascii="Times New Roman" w:hAnsi="Times New Roman" w:cs="Times New Roman"/>
          <w:sz w:val="21"/>
          <w:szCs w:val="21"/>
        </w:rPr>
        <w:t>Застройщик вправе исполнить свои обязательства по передаче Помещения досрочно, а также в соответствии со ст. 359 ГК РФ, удержать Помещение до полной оплаты Участником долевого строительства цены Договора, при этом положения п. 10.1. настоящего Договора не применяются</w:t>
      </w:r>
      <w:r>
        <w:rPr>
          <w:rFonts w:ascii="Times New Roman" w:hAnsi="Times New Roman" w:cs="Times New Roman"/>
          <w:b/>
          <w:sz w:val="21"/>
          <w:szCs w:val="21"/>
        </w:rPr>
        <w:t>.</w:t>
      </w:r>
    </w:p>
    <w:p w14:paraId="115846C5">
      <w:pPr>
        <w:pStyle w:val="23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5.7. Обязательства Застройщика по настоящему Договору считаются исполненными с момента подписания Сторонами передаточного акта о передаче Помещения или с момента составления одностороннего акта передачи в силу п. 7.4. настоящего Договора.</w:t>
      </w:r>
    </w:p>
    <w:p w14:paraId="029FA480">
      <w:pPr>
        <w:pStyle w:val="23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5.8. Застройщик после подписания передаточного акта и осуществления государственного кадастрового учета Помещения в течение 30 рабочий дней осуществляет подачу заявления на государственную регистрацию права собственности в орган, осуществляющий государственную регистрацию права собственности.</w:t>
      </w:r>
    </w:p>
    <w:p w14:paraId="41766711">
      <w:pPr>
        <w:pStyle w:val="23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</w:p>
    <w:p w14:paraId="765CC33A">
      <w:pPr>
        <w:pStyle w:val="23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ПРАВА И ОБЯЗАННОСТИ УЧАСТНИКА ДОЛЕВОГО СТРОИТЕЛЬСТВА</w:t>
      </w:r>
    </w:p>
    <w:p w14:paraId="5FBA86EC">
      <w:pPr>
        <w:pStyle w:val="23"/>
        <w:widowControl/>
        <w:ind w:firstLine="540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Участник долевого строительства обязуется:</w:t>
      </w:r>
    </w:p>
    <w:p w14:paraId="11D6F982">
      <w:pPr>
        <w:pStyle w:val="23"/>
        <w:widowControl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1"/>
          <w:szCs w:val="21"/>
        </w:rPr>
        <w:t xml:space="preserve">6.1. </w:t>
      </w:r>
      <w:r>
        <w:rPr>
          <w:rFonts w:ascii="Times New Roman" w:hAnsi="Times New Roman" w:cs="Times New Roman"/>
          <w:sz w:val="22"/>
          <w:szCs w:val="22"/>
        </w:rPr>
        <w:t>Осуществить подачу настоящего договора в форме электронного документа в регистрационный орган для государственной регистрации.</w:t>
      </w:r>
    </w:p>
    <w:p w14:paraId="7F2EA7AC">
      <w:pPr>
        <w:pStyle w:val="23"/>
        <w:widowControl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6.2. Уплатить цену согласно п. 3.1. настоящего Договора в порядке и на условиях, предусмотренных настоящим Договором.</w:t>
      </w:r>
    </w:p>
    <w:p w14:paraId="3BE35B35">
      <w:pPr>
        <w:pStyle w:val="23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6.3. С момента подписания передаточного акта нести все расходы, связанные с содержанием, эксплуатацией и управлением общим имуществом Дома, оплачивать расходы, связанные с содержанием Помещения, коммунальные услуги.</w:t>
      </w:r>
    </w:p>
    <w:p w14:paraId="1C2EE57C">
      <w:pPr>
        <w:pStyle w:val="23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6.4. Самостоятельно и за свой счет оплатить государственную пошлину за регистрацию права собственности на Помещение в течение 2 (двух) календарных дней с момента поступления УИН на e-mail (электронную почту) Участника долевого строительства. Расходы на государственную регистрацию права собственности Участника долевого строительства на Помещение в цену настоящего Договора не включаются, а также расходы на техническую документацию на Помещение.</w:t>
      </w:r>
    </w:p>
    <w:p w14:paraId="4E2688BC">
      <w:pPr>
        <w:pStyle w:val="23"/>
        <w:ind w:firstLine="540"/>
        <w:jc w:val="both"/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6.5. Участник долевого строительства вправе уступить третьим лицам свои права требования по настоящему Договору  после уплаты цены настоящего Договора и до момента подписания сторонами передаточного акта или иного документа о передаче Помещения. </w:t>
      </w:r>
    </w:p>
    <w:p w14:paraId="37586119">
      <w:pPr>
        <w:pStyle w:val="23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6.6. Обязательства Участника долевого строительства</w:t>
      </w:r>
      <w:r>
        <w:rPr>
          <w:rFonts w:ascii="Times New Roman" w:hAnsi="Times New Roman" w:cs="Times New Roman"/>
          <w:sz w:val="21"/>
          <w:szCs w:val="21"/>
        </w:rPr>
        <w:t xml:space="preserve"> считаются исполненными с момента уплаты в полном объеме денежных средств в соответствии с пунктом 3.1. настоящего Договора и подписания Сторонами передаточного акта.</w:t>
      </w:r>
    </w:p>
    <w:p w14:paraId="5491DCE3">
      <w:pPr>
        <w:pStyle w:val="23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6.7. Подписывая настоящий договор, Участник долевого строительства дает согласие на передачу в  ипотеку земельного участка (право пользование), принадлежащих Застройщику на праве субаренды, в пользу кредитной организации, в обеспечение по кредитным договорам, заключенным в целях финансирования строительства.</w:t>
      </w:r>
    </w:p>
    <w:p w14:paraId="7AD3E460">
      <w:pPr>
        <w:ind w:firstLine="567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 Подписывая настоящий договор,  Участник долевого строительства дает  согласие на передачу земельного участка (право пользования) с кадастровым номером:  </w:t>
      </w:r>
      <w:r>
        <w:rPr>
          <w:color w:val="222222"/>
          <w:sz w:val="21"/>
          <w:szCs w:val="21"/>
        </w:rPr>
        <w:t>42:04:0349002:4644</w:t>
      </w:r>
      <w:r>
        <w:rPr>
          <w:sz w:val="21"/>
          <w:szCs w:val="21"/>
        </w:rPr>
        <w:t xml:space="preserve">; любого земельного участка, образованного из земельного участка с кадастровым номером: </w:t>
      </w:r>
      <w:r>
        <w:rPr>
          <w:color w:val="222222"/>
          <w:sz w:val="21"/>
          <w:szCs w:val="21"/>
        </w:rPr>
        <w:t>42:04:0349002:4644</w:t>
      </w:r>
      <w:r>
        <w:rPr>
          <w:sz w:val="21"/>
          <w:szCs w:val="21"/>
        </w:rPr>
        <w:t xml:space="preserve">, в залог любому банку в целях обеспечения обязательств Застройщика по целевому кредиту на строительство (создание) любого объекта недвижимости, расположенного на земельном участке с кадастровым номером: </w:t>
      </w:r>
      <w:r>
        <w:rPr>
          <w:color w:val="222222"/>
          <w:sz w:val="21"/>
          <w:szCs w:val="21"/>
        </w:rPr>
        <w:t>42:04:0349002:4644</w:t>
      </w:r>
      <w:r>
        <w:rPr>
          <w:sz w:val="21"/>
          <w:szCs w:val="21"/>
        </w:rPr>
        <w:t xml:space="preserve">, а также на любом земельном участке, образованном из земельного участка с кадастровым номером: </w:t>
      </w:r>
      <w:r>
        <w:rPr>
          <w:color w:val="222222"/>
          <w:sz w:val="21"/>
          <w:szCs w:val="21"/>
        </w:rPr>
        <w:t>42:04:0349002:4644</w:t>
      </w:r>
      <w:r>
        <w:rPr>
          <w:sz w:val="21"/>
          <w:szCs w:val="21"/>
        </w:rPr>
        <w:t xml:space="preserve">. </w:t>
      </w:r>
    </w:p>
    <w:p w14:paraId="0063EC39">
      <w:pPr>
        <w:ind w:firstLine="567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Подписывая настоящий договор,  Участник долевого строительства дает согласие на раздел земельного участка с кадастровым номером:  </w:t>
      </w:r>
      <w:r>
        <w:rPr>
          <w:color w:val="222222"/>
          <w:sz w:val="21"/>
          <w:szCs w:val="21"/>
        </w:rPr>
        <w:t>42:04:0349002:4644</w:t>
      </w:r>
      <w:r>
        <w:rPr>
          <w:sz w:val="21"/>
          <w:szCs w:val="21"/>
        </w:rPr>
        <w:t xml:space="preserve">,  его объединение, перераспределение, выдел из его состава земельных участков, формирование частей земельного участка, в том числе на изменение документации по планировке территории (проектов планировки, проектов межевания), градостроительных планов и любой иной документации, с целью формирования отдельных (самостоятельных) земельных участков под отдельными объектами недвижимости, построенными (созданными) или строящимися (создаваемыми) на земельном участке с кадастровым номером: </w:t>
      </w:r>
      <w:r>
        <w:rPr>
          <w:color w:val="222222"/>
          <w:sz w:val="21"/>
          <w:szCs w:val="21"/>
        </w:rPr>
        <w:t>42:04:0349002:4644</w:t>
      </w:r>
      <w:r>
        <w:rPr>
          <w:sz w:val="21"/>
          <w:szCs w:val="21"/>
        </w:rPr>
        <w:t xml:space="preserve">, а также на перенос записи об ипотеке на предмет залога с земельного участка с кадастровым номером: </w:t>
      </w:r>
      <w:r>
        <w:rPr>
          <w:color w:val="222222"/>
          <w:sz w:val="21"/>
          <w:szCs w:val="21"/>
        </w:rPr>
        <w:t>42:04:0349002:4644</w:t>
      </w:r>
      <w:r>
        <w:rPr>
          <w:sz w:val="21"/>
          <w:szCs w:val="21"/>
        </w:rPr>
        <w:t xml:space="preserve"> на земельный участок для строительства Дома, образованный из земельного участка с кадастровым номером: </w:t>
      </w:r>
      <w:r>
        <w:rPr>
          <w:color w:val="222222"/>
          <w:sz w:val="21"/>
          <w:szCs w:val="21"/>
        </w:rPr>
        <w:t>42:04:0349002:4644</w:t>
      </w:r>
      <w:r>
        <w:rPr>
          <w:sz w:val="21"/>
          <w:szCs w:val="21"/>
        </w:rPr>
        <w:t xml:space="preserve">в результате раздела, объединения, перераспределении, выдела. Настоящее согласие Участника долевого строительства является письменным согласием. </w:t>
      </w:r>
    </w:p>
    <w:p w14:paraId="1469E56E">
      <w:pPr>
        <w:ind w:firstLine="567"/>
        <w:jc w:val="both"/>
        <w:rPr>
          <w:sz w:val="21"/>
          <w:szCs w:val="21"/>
        </w:rPr>
      </w:pPr>
      <w:r>
        <w:rPr>
          <w:sz w:val="21"/>
          <w:szCs w:val="21"/>
        </w:rPr>
        <w:t>Также Участник долевого строительства дает согласие, на передачу в муниципальную собственность/собственность ресурсоснабжающих организаций/ собственность третьим лицам инженерных сетей (оборудования), предназначенных для обслуживания Дома  не являющихся общим имуществом.</w:t>
      </w:r>
    </w:p>
    <w:p w14:paraId="3D937292">
      <w:pPr>
        <w:autoSpaceDE w:val="0"/>
        <w:autoSpaceDN w:val="0"/>
        <w:adjustRightInd w:val="0"/>
        <w:ind w:firstLine="567"/>
        <w:jc w:val="both"/>
        <w:rPr>
          <w:sz w:val="21"/>
          <w:szCs w:val="21"/>
        </w:rPr>
      </w:pPr>
      <w:r>
        <w:rPr>
          <w:sz w:val="21"/>
          <w:szCs w:val="21"/>
        </w:rPr>
        <w:t>При этом не требуется дополнительного уведомления Участника долевого строительства.</w:t>
      </w:r>
    </w:p>
    <w:p w14:paraId="7B90E45C">
      <w:pPr>
        <w:pStyle w:val="23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6.8. Подписывая настоящий договор, Участник долевого строительства дает согласие Застройщику на выбор организации, которая будет эксплуатировать Дом после оформления разрешения на ввод Дома в эксплуатацию в установленном законодательством порядке. Участник долевого строительства обязуется нести все расходы по содержанию, эксплуатации Помещения и мест общего пользования жилого дома, с момента подписания передаточного акта на Помещение.</w:t>
      </w:r>
    </w:p>
    <w:p w14:paraId="003B29AC">
      <w:pPr>
        <w:pStyle w:val="23"/>
        <w:widowControl/>
        <w:ind w:firstLine="567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hint="default" w:ascii="Times New Roman" w:hAnsi="Times New Roman" w:cs="Times New Roman"/>
          <w:color w:val="000000" w:themeColor="text1"/>
          <w:sz w:val="21"/>
          <w:szCs w:val="21"/>
          <w:lang w:val="ru-RU"/>
          <w14:textFill>
            <w14:solidFill>
              <w14:schemeClr w14:val="tx1"/>
            </w14:solidFill>
          </w14:textFill>
        </w:rPr>
        <w:t xml:space="preserve">6.9. </w:t>
      </w:r>
      <w:r>
        <w:rPr>
          <w:rFonts w:hint="default"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Настоящим Участник долевого строительства дает согласие Застройщику на внесение изменений в проектную и разрешительную документацию Дома в отношении помещений в Доме, предназначенных для обслуживания более одного помещения в Доме, и необходимых для удовлетворения социально-бытовых потребностей в Доме, за исключением изменений, касающихся Помещений, принадлежащих отдельным Участникам долевого строительства,  а также в части архитектурного облика Дома (при условии, что такие изменения не ухудшают качество Помещения).  Под проектной документацией Стороны понимают всю документацию в соответствии со статьёй 48 Градостроительного кодекса РФ, оформленную на момент заключения Договора, а также в период его действия. О фактах внесения изменений в проектную документацию Застройщик информирует Участника долевого строительства путем размещения данн</w:t>
      </w:r>
    </w:p>
    <w:p w14:paraId="2117F75D">
      <w:pPr>
        <w:pStyle w:val="23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ПОРЯДОК ПЕРЕДАЧИ ПОМЕЩЕНИЯ</w:t>
      </w:r>
    </w:p>
    <w:p w14:paraId="2F795EC9">
      <w:pPr>
        <w:pStyle w:val="23"/>
        <w:widowControl/>
        <w:ind w:left="1080" w:firstLine="0"/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УЧАСТНИКУ ДОЛЕВОГО СТРОИТЕЛЬСТВА</w:t>
      </w:r>
    </w:p>
    <w:p w14:paraId="5E36211B">
      <w:pPr>
        <w:autoSpaceDE w:val="0"/>
        <w:autoSpaceDN w:val="0"/>
        <w:adjustRightInd w:val="0"/>
        <w:ind w:firstLine="540"/>
        <w:jc w:val="both"/>
        <w:rPr>
          <w:bCs/>
          <w:sz w:val="21"/>
          <w:szCs w:val="21"/>
        </w:rPr>
      </w:pPr>
      <w:r>
        <w:rPr>
          <w:bCs/>
          <w:sz w:val="21"/>
          <w:szCs w:val="21"/>
        </w:rPr>
        <w:t>7.1. Передача Помещения Застройщиком и принятие его Участником долевого строительства осуществляется по подписываемому Сторонами передаточному акту после получения в установленном порядке разрешения на ввод в эксплуатацию Дома.</w:t>
      </w:r>
    </w:p>
    <w:p w14:paraId="5DA0EBB6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bCs/>
          <w:sz w:val="21"/>
          <w:szCs w:val="21"/>
        </w:rPr>
        <w:t xml:space="preserve">7.2. </w:t>
      </w:r>
      <w:r>
        <w:rPr>
          <w:sz w:val="21"/>
          <w:szCs w:val="21"/>
        </w:rPr>
        <w:t xml:space="preserve">Застройщик обязуется письменно сообщить Участнику долевого строительства о завершении строительства Дома и готовности Помещения к передаче, </w:t>
      </w:r>
      <w:r>
        <w:rPr>
          <w:bCs/>
          <w:sz w:val="21"/>
          <w:szCs w:val="21"/>
        </w:rPr>
        <w:t>а также предупредить Участника долевого строительства о необходимости принятия Помещения и о последствиях бездействия Участника долевого строительства, предусмотренных законом</w:t>
      </w:r>
      <w:r>
        <w:rPr>
          <w:b/>
          <w:sz w:val="21"/>
          <w:szCs w:val="21"/>
        </w:rPr>
        <w:t xml:space="preserve">. </w:t>
      </w:r>
      <w:r>
        <w:rPr>
          <w:sz w:val="21"/>
          <w:szCs w:val="21"/>
        </w:rPr>
        <w:t>Сообщение должно быть направлено Участнику долевого строительства по почте заказным письмом с уведомлением о вручении либо курьерской службой доставки корреспонденции по указанному им почтовому адресу или вручено Участнику долевого строительства лично под расписку.</w:t>
      </w:r>
    </w:p>
    <w:p w14:paraId="017F9C55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7.3. Участник долевого строительства, получивший сообщение Застройщика, указанное в п. 7.2. настоящего Договора, обязан приступить к  принятию Помещения в течение 5 (пяти) рабочих дней со дня получения указанного сообщения. При отсутствии обоснованных претензий к  качеству Помещения Участник долевого строительства обязан подписать передаточный акт и вернуть экземпляр передаточного акта Застройщику не позднее даты передачи Помещения.</w:t>
      </w:r>
    </w:p>
    <w:p w14:paraId="179D1BFC">
      <w:pPr>
        <w:widowControl w:val="0"/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7.4. При уклонении Участника долевого строительства от принятия Помещения или при необоснованном отказе Участника долевого строительства от принятия Помещения Застройщик по </w:t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истечении двух месяцев  с даты получения Участником долевого строительства сообщения Застройщика,</w:t>
      </w:r>
      <w:r>
        <w:rPr>
          <w:sz w:val="21"/>
          <w:szCs w:val="21"/>
        </w:rPr>
        <w:t xml:space="preserve"> указанного в п. 7.2. настоящего Договора, если иное не предусмотрено законодательством Российской Федерации, вправе составить односторонний акт о передаче Помещения. В случае отсутствия у Застройщика сведений о получении Участником долевого строительства такого сообщения Застройщик вправе составить односторонний акт о передаче Помещения с даты, когда оператором почтовой связи/курьерской службой доставки заказное письмо возвращено с сообщением об отказе Участника долевого строительства от его получения или в связи с отсутствием Участника долевого строительства по указанному им почтовому адресу. При этом риск случайной гибели Помещения признается перешедшим к Участнику долевого строительства со дня составления одностороннего акта о передаче Помещения. </w:t>
      </w:r>
    </w:p>
    <w:p w14:paraId="01474162">
      <w:pPr>
        <w:widowControl w:val="0"/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</w:p>
    <w:p w14:paraId="25A3F960">
      <w:pPr>
        <w:pStyle w:val="23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ГАРАНТИИ КАЧЕСТВА</w:t>
      </w:r>
    </w:p>
    <w:p w14:paraId="1EA28C84">
      <w:pPr>
        <w:pStyle w:val="23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8.1. Качество Помещения, которое будет передано Застройщиком Участнику долевого строительства по настоящему Договору, должно соответствовать требованиям проектной документации, техническим и градостроительным регламентам, а также иным обязательным требованиям.</w:t>
      </w:r>
    </w:p>
    <w:p w14:paraId="38F8D65C">
      <w:pPr>
        <w:pStyle w:val="23"/>
        <w:widowControl/>
        <w:ind w:firstLine="540"/>
        <w:jc w:val="both"/>
        <w:rPr>
          <w:rFonts w:ascii="Times New Roman" w:hAnsi="Times New Roman" w:cs="Times New Roman"/>
          <w:spacing w:val="9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8.2.  Гарантийный срок на подлежащее передаче Помещение устанавливается 3 (три) года. </w:t>
      </w:r>
      <w:r>
        <w:rPr>
          <w:rFonts w:ascii="Times New Roman" w:hAnsi="Times New Roman" w:cs="Times New Roman"/>
          <w:spacing w:val="9"/>
          <w:sz w:val="21"/>
          <w:szCs w:val="21"/>
        </w:rPr>
        <w:t xml:space="preserve">Указанный гарантийный срок исчисляется </w:t>
      </w:r>
      <w:r>
        <w:rPr>
          <w:rFonts w:ascii="Times New Roman" w:hAnsi="Times New Roman" w:cs="Times New Roman"/>
          <w:sz w:val="21"/>
          <w:szCs w:val="21"/>
        </w:rPr>
        <w:t>с момента подписания передаточного акта</w:t>
      </w:r>
      <w:r>
        <w:rPr>
          <w:rFonts w:ascii="Times New Roman" w:hAnsi="Times New Roman" w:cs="Times New Roman"/>
          <w:spacing w:val="9"/>
          <w:sz w:val="21"/>
          <w:szCs w:val="21"/>
        </w:rPr>
        <w:t xml:space="preserve">. </w:t>
      </w:r>
    </w:p>
    <w:p w14:paraId="3FCFB8DD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Гарантийный срок на технологическое и инженерное оборудование, входящее в состав Дома, устанавливается 3 (три) года. Указанный </w:t>
      </w:r>
      <w:r>
        <w:rPr>
          <w:spacing w:val="9"/>
          <w:sz w:val="21"/>
          <w:szCs w:val="21"/>
        </w:rPr>
        <w:t xml:space="preserve">гарантийный срок исчисляется </w:t>
      </w:r>
      <w:r>
        <w:rPr>
          <w:sz w:val="21"/>
          <w:szCs w:val="21"/>
        </w:rPr>
        <w:t>с момента подписания первого передаточного акта.</w:t>
      </w:r>
    </w:p>
    <w:p w14:paraId="1E9E9830">
      <w:pPr>
        <w:autoSpaceDE w:val="0"/>
        <w:autoSpaceDN w:val="0"/>
        <w:adjustRightInd w:val="0"/>
        <w:ind w:firstLine="540"/>
        <w:jc w:val="both"/>
        <w:rPr>
          <w:rFonts w:hint="default"/>
          <w:color w:val="000000"/>
          <w:sz w:val="21"/>
          <w:szCs w:val="21"/>
          <w:lang w:val="ru-RU"/>
        </w:rPr>
      </w:pPr>
      <w:r>
        <w:rPr>
          <w:color w:val="000000"/>
          <w:sz w:val="21"/>
          <w:szCs w:val="21"/>
          <w:lang w:val="ru-RU"/>
        </w:rPr>
        <w:t>Гарантийный</w:t>
      </w:r>
      <w:r>
        <w:rPr>
          <w:rFonts w:hint="default"/>
          <w:color w:val="000000"/>
          <w:sz w:val="21"/>
          <w:szCs w:val="21"/>
          <w:lang w:val="ru-RU"/>
        </w:rPr>
        <w:t xml:space="preserve"> срок на элементы отделки и на результат производства отделочных работ согласно Паспорту Помещения (Приложения №2 к настоящему Договору) составляет 1 (один) год с момента подписания передаточного акта.</w:t>
      </w:r>
    </w:p>
    <w:p w14:paraId="32586A85">
      <w:pPr>
        <w:pStyle w:val="23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bookmarkStart w:id="4" w:name="_GoBack"/>
      <w:bookmarkEnd w:id="4"/>
      <w:r>
        <w:rPr>
          <w:rFonts w:ascii="Times New Roman" w:hAnsi="Times New Roman" w:cs="Times New Roman"/>
          <w:sz w:val="21"/>
          <w:szCs w:val="21"/>
        </w:rPr>
        <w:t xml:space="preserve">8.3. Застройщик не несет ответственности за недостатки (дефекты) Помещения, обнаруженные в пределах гарантийного срока, если докажет, что они произошли вследствие нормального износа Помещения или его частей, нарушения требований технических и градостроительных регламентов, а также иных обязательных требований к процессу эксплуатации Помещения либо вследствие ненадлежащего его ремонта, проведенного самим Участником долевого строительства или привлеченными им третьими лицами. </w:t>
      </w:r>
    </w:p>
    <w:p w14:paraId="04FB3F85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8.4. В случае, если Дом или переданное Участнику долевого строительства Помещение построены (созданы) Застройщиком с отступлениями от условий договора и (или) указанных в пункте 8.1. Договора обязательных требований, приведшими к ухудшению его качества, или с иными недостатками, которые делают Помещение непригодным для предусмотренного договором использования, Участник долевого строительства по своему выбору вправе потребовать от Застройщика: </w:t>
      </w:r>
    </w:p>
    <w:p w14:paraId="35C08491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1) безвозмездного устранения недостатков в разумный срок;</w:t>
      </w:r>
    </w:p>
    <w:p w14:paraId="35AA91CF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2) возмещения своих расходов на устранение недостатков;</w:t>
      </w:r>
    </w:p>
    <w:p w14:paraId="6BA87196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3) соразмерного уменьшения цены договора.</w:t>
      </w:r>
    </w:p>
    <w:p w14:paraId="1C30FA7C">
      <w:pPr>
        <w:autoSpaceDE w:val="0"/>
        <w:autoSpaceDN w:val="0"/>
        <w:adjustRightInd w:val="0"/>
        <w:ind w:firstLine="540"/>
        <w:jc w:val="both"/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cs="Times New Roman"/>
          <w:color w:val="000000" w:themeColor="text1"/>
          <w:sz w:val="21"/>
          <w:szCs w:val="21"/>
          <w:lang w:val="ru-RU"/>
          <w14:textFill>
            <w14:solidFill>
              <w14:schemeClr w14:val="tx1"/>
            </w14:solidFill>
          </w14:textFill>
        </w:rPr>
        <w:t>8.5</w:t>
      </w:r>
      <w:r>
        <w:rPr>
          <w:rFonts w:hint="default"/>
          <w:color w:val="000000" w:themeColor="text1"/>
          <w:sz w:val="21"/>
          <w:szCs w:val="21"/>
          <w:lang w:val="ru-RU"/>
          <w14:textFill>
            <w14:solidFill>
              <w14:schemeClr w14:val="tx1"/>
            </w14:solidFill>
          </w14:textFill>
        </w:rPr>
        <w:t xml:space="preserve">. </w:t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Участник долевого строительства согласен, что Застройщик не несет ответственности за недостатки Помещения, возникшие вследствие нормального и естественного износа (в т.ч. усадка и осадки Дома в рамках предельных проектных-прогнозируемых параметров), нарушения обязательных требований к процессу эксплуатации Помещения, либо вследствие ненадлежащего ремонта Помещения, проведенного Участником долевого строительства (привлеченным им третьем лицом). Участник долевого строительства согласен, что в   случае не предоставления Застройщику (его сотрудникам, подрядчикам) доступа в Помещение для устранения выявленных недостатков или для составления акта осмотра у Участника долевого строительства  отсутствуют основания для предъявления  Застройщику неустойки и штрафы по недостаткам, которые Застройщик не мог осмотреть и устранить в добровольном порядке ввиду отказа Участника долевого строительства предоставить доступ в Помещение или по причине бездействия Участника долевого строительства, в т.ч. в части предоставления доступа в Помещение.</w:t>
      </w: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 xml:space="preserve">.  </w:t>
      </w:r>
    </w:p>
    <w:p w14:paraId="3D7E101E">
      <w:pPr>
        <w:autoSpaceDE w:val="0"/>
        <w:autoSpaceDN w:val="0"/>
        <w:adjustRightInd w:val="0"/>
        <w:ind w:firstLine="540"/>
        <w:jc w:val="both"/>
        <w:rPr>
          <w:rFonts w:hint="default"/>
          <w:sz w:val="21"/>
          <w:szCs w:val="21"/>
          <w:lang w:val="ru-RU"/>
        </w:rPr>
      </w:pPr>
    </w:p>
    <w:p w14:paraId="381A7AF5">
      <w:pPr>
        <w:pStyle w:val="23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6AEBDF65">
      <w:pPr>
        <w:pStyle w:val="23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СРОК ДЕЙСТВИЯ ДОГОВОРА. ДОСРОЧНОЕ РАСТОРЖЕНИЕ</w:t>
      </w:r>
    </w:p>
    <w:p w14:paraId="75E61016">
      <w:pPr>
        <w:pStyle w:val="23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9.1. Настоящий договор действует для сторон с момента подписания, подлежит обязательной  государственной регистрации и считается заключенным с момента такой регистрации.</w:t>
      </w:r>
    </w:p>
    <w:p w14:paraId="16041980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9.2. Действие настоящего Договора прекращается с момента выполнения Сторонами своих обязательств, предусмотренных настоящим Договором, и полного расчета между Сторонами. </w:t>
      </w:r>
    </w:p>
    <w:p w14:paraId="36530091">
      <w:pPr>
        <w:pStyle w:val="23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9.3. Настоящий Договор может быть изменен или досрочно расторгнут по взаимному согласию Сторон путем оформления письменного соглашения.</w:t>
      </w:r>
    </w:p>
    <w:p w14:paraId="294995F1">
      <w:pPr>
        <w:autoSpaceDE w:val="0"/>
        <w:autoSpaceDN w:val="0"/>
        <w:adjustRightInd w:val="0"/>
        <w:ind w:firstLine="540"/>
        <w:jc w:val="both"/>
        <w:rPr>
          <w:sz w:val="22"/>
          <w:szCs w:val="22"/>
        </w:rPr>
      </w:pPr>
      <w:r>
        <w:rPr>
          <w:sz w:val="22"/>
          <w:szCs w:val="22"/>
        </w:rPr>
        <w:t>Участник долевого строительства обязан уведомить Банк обо всех изменениях, вносимых в настоящий договор, в письменном виде в срок не позднее 5 рабочих дней до планируемой даты их внесения с направлением в адрес Банка соответствующего письма с уведомлением о вручении.</w:t>
      </w:r>
    </w:p>
    <w:p w14:paraId="0709FB2C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9.4. Участник долевого строительства в одностороннем порядке вправе отказаться от исполнения настоящего договора в случае:</w:t>
      </w:r>
    </w:p>
    <w:p w14:paraId="24F57870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1) неисполнения Застройщиком обязательства по передаче Помещения в срок, превышающий установленный настоящим Договором срок передачи такого объекта на два месяца;</w:t>
      </w:r>
    </w:p>
    <w:p w14:paraId="781A3607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2) неисполнения Застройщиком обязанностей, предусмотренных пунктом 8.4. настоящего Договора.</w:t>
      </w:r>
    </w:p>
    <w:p w14:paraId="2097A67A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3) существенного нарушения требований к качеству передаваемого Участнику долевого строительства Помещения;</w:t>
      </w:r>
    </w:p>
    <w:p w14:paraId="74DA5A94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4) в 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214-ФЗ.</w:t>
      </w:r>
    </w:p>
    <w:p w14:paraId="77D1CBCF">
      <w:pPr>
        <w:autoSpaceDE w:val="0"/>
        <w:autoSpaceDN w:val="0"/>
        <w:adjustRightInd w:val="0"/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9.5. При наступлении оснований для возврата Участнику долевого строительства денежных средств со счета эскроу (в том числе в случае расторжения /прекращения/отказа от исполнения Договора сторонами), денежные средства со счета эскроу подлежат возврату Участнику долевого строительства в соответствии с условиями договора счета эскроу.</w:t>
      </w:r>
    </w:p>
    <w:p w14:paraId="6E07F9D1">
      <w:pPr>
        <w:pStyle w:val="23"/>
        <w:widowControl/>
        <w:ind w:firstLine="0"/>
        <w:jc w:val="center"/>
        <w:rPr>
          <w:rFonts w:ascii="Times New Roman" w:hAnsi="Times New Roman" w:cs="Times New Roman"/>
          <w:b/>
          <w:sz w:val="21"/>
          <w:szCs w:val="21"/>
        </w:rPr>
      </w:pPr>
    </w:p>
    <w:p w14:paraId="4307C88D">
      <w:pPr>
        <w:pStyle w:val="23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ОТВЕТСТВЕННОСТЬ</w:t>
      </w:r>
    </w:p>
    <w:p w14:paraId="1CA5AC5B">
      <w:pPr>
        <w:pStyle w:val="23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10.1. Застройщик несет материальную ответственность перед Участником долевого строительства за нарушение предусмотренного настоящим Договором срока передачи Помещений Участнику долевого строительства, неисполнение Застройщиком предусмотренных пунктом 8.4. настоящего Договора обязанностей, существенное нарушение требований к качеству объекта долевого строительства, а также в иных случаях, установленных Федеральным законом 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214-ФЗ, в форме и в размерах, установленных данным Федеральным законом.</w:t>
      </w:r>
    </w:p>
    <w:p w14:paraId="1AD1DE73">
      <w:pPr>
        <w:pStyle w:val="23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        10.2. В иных случаях, не предусмотренных настоящим Договором, Стороны несут ответственность по своим обязательствам в соответствии с действующим законодательством Российской Федерации.</w:t>
      </w:r>
    </w:p>
    <w:p w14:paraId="004FAEE2">
      <w:pPr>
        <w:pStyle w:val="23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</w:p>
    <w:p w14:paraId="0BF4C40F">
      <w:pPr>
        <w:pStyle w:val="23"/>
        <w:widowControl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ОСВОБОЖДЕНИЕ ОТ ОТВЕТСТВЕННОСТИ (ФОРС-МАЖОР)</w:t>
      </w:r>
    </w:p>
    <w:p w14:paraId="48123084">
      <w:pPr>
        <w:pStyle w:val="22"/>
        <w:widowControl w:val="0"/>
        <w:numPr>
          <w:ilvl w:val="1"/>
          <w:numId w:val="5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0"/>
          <w:sz w:val="21"/>
          <w:szCs w:val="21"/>
        </w:rPr>
      </w:pPr>
      <w:r>
        <w:rPr>
          <w:spacing w:val="-1"/>
          <w:sz w:val="21"/>
          <w:szCs w:val="21"/>
        </w:rPr>
        <w:t xml:space="preserve">Стороны освобождаются от ответственности за неисполнение или ненадлежащее </w:t>
      </w:r>
      <w:r>
        <w:rPr>
          <w:sz w:val="21"/>
          <w:szCs w:val="21"/>
        </w:rPr>
        <w:t xml:space="preserve">исполнение обязательств, принятых на себя по настоящему Договору, если надлежащее </w:t>
      </w:r>
      <w:r>
        <w:rPr>
          <w:spacing w:val="-1"/>
          <w:sz w:val="21"/>
          <w:szCs w:val="21"/>
        </w:rPr>
        <w:t>исполнение оказалось невозможным вследствие наступления обстоятельств непреодолимой силы.</w:t>
      </w:r>
    </w:p>
    <w:p w14:paraId="7CDC2197">
      <w:pPr>
        <w:pStyle w:val="22"/>
        <w:widowControl w:val="0"/>
        <w:numPr>
          <w:ilvl w:val="1"/>
          <w:numId w:val="6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0"/>
          <w:sz w:val="21"/>
          <w:szCs w:val="21"/>
        </w:rPr>
      </w:pPr>
      <w:r>
        <w:rPr>
          <w:sz w:val="21"/>
          <w:szCs w:val="21"/>
        </w:rPr>
        <w:t xml:space="preserve">Понятием обстоятельств непреодолимой силы охватываются внешние и чрезвычайные события, отсутствовавшие во время подписания настоящего Договора и </w:t>
      </w:r>
      <w:r>
        <w:rPr>
          <w:spacing w:val="-2"/>
          <w:sz w:val="21"/>
          <w:szCs w:val="21"/>
        </w:rPr>
        <w:t xml:space="preserve">наступившие помимо воли и желания Сторон, действия которых Стороны не могли предотвратить </w:t>
      </w:r>
      <w:r>
        <w:rPr>
          <w:sz w:val="21"/>
          <w:szCs w:val="21"/>
        </w:rPr>
        <w:t>мерами и средствами, которые оправданно и целесообразно ожидать от добросовестно действующей Стороны. К подобным обстоятельствам Стороны относят: военные действия, эпидемии, пожары, природные катастрофы и стихийные бедствия, акты и действия государственных и муниципальных органов, делающие невозможными исполнение обязательств по настоящему Договору в соответствии с законным порядком.</w:t>
      </w:r>
    </w:p>
    <w:p w14:paraId="2401931F">
      <w:pPr>
        <w:pStyle w:val="22"/>
        <w:widowControl w:val="0"/>
        <w:numPr>
          <w:ilvl w:val="1"/>
          <w:numId w:val="6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1"/>
          <w:szCs w:val="21"/>
        </w:rPr>
      </w:pPr>
      <w:r>
        <w:rPr>
          <w:spacing w:val="-1"/>
          <w:sz w:val="21"/>
          <w:szCs w:val="21"/>
        </w:rPr>
        <w:t xml:space="preserve">Сторона, для которой исполнение обязательств по настоящему Договору стало невозможным в связи с наступлением обстоятельств непреодолимой силы, должна не позднее 10 </w:t>
      </w:r>
      <w:r>
        <w:rPr>
          <w:sz w:val="21"/>
          <w:szCs w:val="21"/>
        </w:rPr>
        <w:t xml:space="preserve">(десяти) календарных дней с момента наступления таких обстоятельств письменно известить </w:t>
      </w:r>
      <w:r>
        <w:rPr>
          <w:spacing w:val="-1"/>
          <w:sz w:val="21"/>
          <w:szCs w:val="21"/>
        </w:rPr>
        <w:t xml:space="preserve">другую Сторону о наступлении, виде и возможной продолжительности действия обстоятельств </w:t>
      </w:r>
      <w:r>
        <w:rPr>
          <w:sz w:val="21"/>
          <w:szCs w:val="21"/>
        </w:rPr>
        <w:t xml:space="preserve">непреодолимой силы, препятствующих исполнению настоящего Договора. Если о </w:t>
      </w:r>
      <w:r>
        <w:rPr>
          <w:spacing w:val="-2"/>
          <w:sz w:val="21"/>
          <w:szCs w:val="21"/>
        </w:rPr>
        <w:t xml:space="preserve">вышеупомянутых событиях не будет своевременно сообщено, Стороны теряют право ссылаться на </w:t>
      </w:r>
      <w:r>
        <w:rPr>
          <w:sz w:val="21"/>
          <w:szCs w:val="21"/>
        </w:rPr>
        <w:t xml:space="preserve">указанные обстоятельства как на причину невыполнения своих обязательств по настоящему </w:t>
      </w:r>
      <w:r>
        <w:rPr>
          <w:spacing w:val="-2"/>
          <w:sz w:val="21"/>
          <w:szCs w:val="21"/>
        </w:rPr>
        <w:t xml:space="preserve">Договору. Достаточным подтверждением обстоятельств непреодолимой силы является письменное </w:t>
      </w:r>
      <w:r>
        <w:rPr>
          <w:sz w:val="21"/>
          <w:szCs w:val="21"/>
        </w:rPr>
        <w:t>свидетельство, выданное соответствующей торгово-промышленной палатой или иным компетентным органом.</w:t>
      </w:r>
    </w:p>
    <w:p w14:paraId="6B75CA13">
      <w:pPr>
        <w:pStyle w:val="22"/>
        <w:widowControl w:val="0"/>
        <w:numPr>
          <w:ilvl w:val="1"/>
          <w:numId w:val="7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1"/>
          <w:szCs w:val="21"/>
        </w:rPr>
      </w:pPr>
      <w:r>
        <w:rPr>
          <w:sz w:val="21"/>
          <w:szCs w:val="21"/>
        </w:rPr>
        <w:t xml:space="preserve">Наступление обстоятельств непреодолимой силы при условии, что приняты установленные меры по извещению об этом других Сторон, продлевает срок выполнения договорных обязательств на период, по своей продолжительности соответствующий </w:t>
      </w:r>
      <w:r>
        <w:rPr>
          <w:spacing w:val="-1"/>
          <w:sz w:val="21"/>
          <w:szCs w:val="21"/>
        </w:rPr>
        <w:t>продолжительности обстоятельств и разумному сроку для устранения их последствий.</w:t>
      </w:r>
    </w:p>
    <w:p w14:paraId="20D6357D">
      <w:pPr>
        <w:pStyle w:val="22"/>
        <w:widowControl w:val="0"/>
        <w:numPr>
          <w:ilvl w:val="1"/>
          <w:numId w:val="7"/>
        </w:numPr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0" w:right="-284" w:firstLine="426"/>
        <w:jc w:val="both"/>
        <w:rPr>
          <w:spacing w:val="-11"/>
          <w:sz w:val="21"/>
          <w:szCs w:val="21"/>
        </w:rPr>
      </w:pPr>
      <w:r>
        <w:rPr>
          <w:sz w:val="21"/>
          <w:szCs w:val="21"/>
        </w:rPr>
        <w:t xml:space="preserve">Если действие обстоятельств непреодолимой силы продолжается более 90 (девяносто) календарных дней, Стороны должны договориться о порядке исполнения или </w:t>
      </w:r>
      <w:r>
        <w:rPr>
          <w:spacing w:val="-1"/>
          <w:sz w:val="21"/>
          <w:szCs w:val="21"/>
        </w:rPr>
        <w:t xml:space="preserve">прекращении настоящего Договора. Если соглашение Сторонами не достигнуто, любая из Сторон </w:t>
      </w:r>
      <w:r>
        <w:rPr>
          <w:sz w:val="21"/>
          <w:szCs w:val="21"/>
        </w:rPr>
        <w:t xml:space="preserve">вправе в одностороннем порядке отказаться от исполнения условий настоящего Договора, </w:t>
      </w:r>
      <w:r>
        <w:rPr>
          <w:spacing w:val="-2"/>
          <w:sz w:val="21"/>
          <w:szCs w:val="21"/>
        </w:rPr>
        <w:t xml:space="preserve">предварительно уведомив об этом другую Сторону путем направления заказным письмом другой </w:t>
      </w:r>
      <w:r>
        <w:rPr>
          <w:sz w:val="21"/>
          <w:szCs w:val="21"/>
        </w:rPr>
        <w:t xml:space="preserve">Стороне соответствующего извещения не менее чем за 1 (один) месяц до отказа от исполнения </w:t>
      </w:r>
      <w:r>
        <w:rPr>
          <w:spacing w:val="-2"/>
          <w:sz w:val="21"/>
          <w:szCs w:val="21"/>
        </w:rPr>
        <w:t xml:space="preserve">условий настоящего Договора. Указанный порядок одностороннего отказа от исполнения условий </w:t>
      </w:r>
      <w:r>
        <w:rPr>
          <w:spacing w:val="-1"/>
          <w:sz w:val="21"/>
          <w:szCs w:val="21"/>
        </w:rPr>
        <w:t>настоящего Договора не применяется в случаях, отличных от описанного в настоящем пункте.</w:t>
      </w:r>
    </w:p>
    <w:p w14:paraId="54CEB62E">
      <w:pPr>
        <w:pStyle w:val="22"/>
        <w:widowControl w:val="0"/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420" w:right="-284"/>
        <w:jc w:val="both"/>
        <w:rPr>
          <w:spacing w:val="-1"/>
          <w:sz w:val="21"/>
          <w:szCs w:val="21"/>
        </w:rPr>
      </w:pPr>
    </w:p>
    <w:p w14:paraId="192FDE47">
      <w:pPr>
        <w:pStyle w:val="22"/>
        <w:widowControl w:val="0"/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420" w:right="-284"/>
        <w:jc w:val="both"/>
        <w:rPr>
          <w:spacing w:val="-1"/>
          <w:sz w:val="21"/>
          <w:szCs w:val="21"/>
        </w:rPr>
      </w:pPr>
    </w:p>
    <w:p w14:paraId="5C6EFBEB">
      <w:pPr>
        <w:pStyle w:val="22"/>
        <w:numPr>
          <w:ilvl w:val="0"/>
          <w:numId w:val="7"/>
        </w:num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ЗАЩИТА ПЕРСОНАЛЬНЫХ ДАННЫХ УЧАСТНИКА ДОЛЕВОГО СТРОИТЕЛЬСТВА И ИХ ОБРАБОТКА ЗАСТРОЙЩИКОМ</w:t>
      </w:r>
    </w:p>
    <w:p w14:paraId="28C35411">
      <w:pPr>
        <w:pStyle w:val="22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12.1. Подписав настоящий Договор, Участник долевого строительства дает согласие Застройщику (Оператору персональных данных) на обработку своих персональных данных (фамилия, имя, отчество; дата рождения; адрес; номер документа, удостоверяющего личность, а также сведения о дате указанного документа и выдавшем его органе; семейное положение; место работы и должность; контактные телефоны; адрес электронной почты), в том числе сбор, запись, систематизацию, накопление, хранение, уточнение (обновление, изменение), извлечение, использование, передачу (доступ, распространение, предоставление), обезличивание, блокирование, удаление, уничтожение персональных данных с использованием средств автоматизации или без использования таких средств в целях, связанных исключительно с исполнением настоящего Договора.</w:t>
      </w:r>
    </w:p>
    <w:p w14:paraId="687CE704">
      <w:pPr>
        <w:pStyle w:val="22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Стороны под целями, связанными с исполнением настоящего договора понимают следующее:</w:t>
      </w:r>
    </w:p>
    <w:p w14:paraId="1AB7724D">
      <w:pPr>
        <w:pStyle w:val="22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 для проведения опросов и исследований, направленных на улучшение качества работы Застройщика;</w:t>
      </w:r>
    </w:p>
    <w:p w14:paraId="0AA8B264">
      <w:pPr>
        <w:pStyle w:val="22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 для проведения маркетинговых программ;</w:t>
      </w:r>
    </w:p>
    <w:p w14:paraId="04D06592">
      <w:pPr>
        <w:pStyle w:val="22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 для проведения статистических исследований;</w:t>
      </w:r>
    </w:p>
    <w:p w14:paraId="49D55134">
      <w:pPr>
        <w:pStyle w:val="22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для продвижения Застройщиком товаров на рынке путем осуществления прямых контактов с Участником долевого строительства с помощью различных средств связи (почтовая рассылка, рассылка курьерской службой, факсимильная связь, телефон, электронная почта и др.);</w:t>
      </w:r>
    </w:p>
    <w:p w14:paraId="17991674">
      <w:pPr>
        <w:pStyle w:val="22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для передачи компетентным органам, в случаях предусмотренных действующим законодательством РФ;</w:t>
      </w:r>
    </w:p>
    <w:p w14:paraId="66FF1C75">
      <w:pPr>
        <w:pStyle w:val="22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 целей, связанных с коммунальным обслуживанием и оказанием эксплуатационных услуг соответствующими организациями;</w:t>
      </w:r>
    </w:p>
    <w:p w14:paraId="63F396CF">
      <w:pPr>
        <w:pStyle w:val="22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 целей, связанных с обработкой фискальных данных, в том числе их сбора, хранения,  формирования статистики, передачи в электронном виде в Федеральную налоговую службу России, а также при наличии технической возможности для удаленной регистрации, перерегистрации и снятия с учета контрольно-кассовой техники;</w:t>
      </w:r>
    </w:p>
    <w:p w14:paraId="12ED6908">
      <w:pPr>
        <w:pStyle w:val="22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целей, связанных с формированием пакета документов для услуги «on-line регистрация» в удостоверяющем центре – ООО «ТехноКад», АО «Аналитический центр»  или иное;</w:t>
      </w:r>
    </w:p>
    <w:p w14:paraId="38E3059D">
      <w:pPr>
        <w:pStyle w:val="22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- целей, связанных с подачей настоящего договора посредством Интернета в Федеральную службу государственной регистрации, кадастра и картографии через информационный ресурс ООО «Домклик», а именно </w:t>
      </w:r>
      <w:r>
        <w:fldChar w:fldCharType="begin"/>
      </w:r>
      <w:r>
        <w:instrText xml:space="preserve"> HYPERLINK "https://onreg.parline.ru" </w:instrText>
      </w:r>
      <w:r>
        <w:fldChar w:fldCharType="separate"/>
      </w:r>
      <w:r>
        <w:rPr>
          <w:rStyle w:val="7"/>
          <w:sz w:val="21"/>
          <w:szCs w:val="21"/>
        </w:rPr>
        <w:t>https://onreg.parline.ru</w:t>
      </w:r>
      <w:r>
        <w:rPr>
          <w:rStyle w:val="7"/>
          <w:sz w:val="21"/>
          <w:szCs w:val="21"/>
        </w:rPr>
        <w:fldChar w:fldCharType="end"/>
      </w:r>
      <w:r>
        <w:rPr>
          <w:sz w:val="21"/>
          <w:szCs w:val="21"/>
        </w:rPr>
        <w:t>.</w:t>
      </w:r>
    </w:p>
    <w:p w14:paraId="785B2A3A">
      <w:pPr>
        <w:pStyle w:val="22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- целей, связанных с подачей настоящего договора посредством Интернета в Федеральную службу государственной регистрации, кадастра и картографии через информационный ресурс </w:t>
      </w:r>
      <w:r>
        <w:rPr>
          <w:sz w:val="22"/>
          <w:szCs w:val="22"/>
        </w:rPr>
        <w:t>ООО «Экосистема недвижимости «М2»</w:t>
      </w:r>
      <w:r>
        <w:rPr>
          <w:sz w:val="21"/>
          <w:szCs w:val="21"/>
        </w:rPr>
        <w:t>, а именно https://</w:t>
      </w:r>
      <w:r>
        <w:rPr>
          <w:sz w:val="21"/>
          <w:szCs w:val="21"/>
          <w:lang w:val="en-US"/>
        </w:rPr>
        <w:t>reg</w:t>
      </w:r>
      <w:r>
        <w:rPr>
          <w:sz w:val="21"/>
          <w:szCs w:val="21"/>
        </w:rPr>
        <w:t>.m2.ru/.</w:t>
      </w:r>
    </w:p>
    <w:p w14:paraId="5C6FFD3D">
      <w:pPr>
        <w:pStyle w:val="22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В рамках настоящего договора обработка персональных данных включает в себя, в том числе передачу:</w:t>
      </w:r>
    </w:p>
    <w:p w14:paraId="4F52E4E7">
      <w:pPr>
        <w:pStyle w:val="22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 организации, осуществляющей открытие счета эскроу (Банк);</w:t>
      </w:r>
    </w:p>
    <w:p w14:paraId="3A24404B">
      <w:pPr>
        <w:pStyle w:val="22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 организации, оказывающей коммунальные и эксплуатационные услуги;</w:t>
      </w:r>
    </w:p>
    <w:p w14:paraId="1BC356F0">
      <w:pPr>
        <w:pStyle w:val="22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организации, являющейся оператором фискальных данных (АО «Производственная фирма «СКБ Контур» или иное);</w:t>
      </w:r>
    </w:p>
    <w:p w14:paraId="2FEAF8ED">
      <w:pPr>
        <w:pStyle w:val="22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 организации, оказывающей услуги доставки корреспонденции;</w:t>
      </w:r>
    </w:p>
    <w:p w14:paraId="645C575D">
      <w:pPr>
        <w:pStyle w:val="22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 органу, осуществляющему регистрационные действия;</w:t>
      </w:r>
    </w:p>
    <w:p w14:paraId="45907EA0">
      <w:pPr>
        <w:pStyle w:val="22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ООО «Домклик»;</w:t>
      </w:r>
    </w:p>
    <w:p w14:paraId="535692EB">
      <w:pPr>
        <w:pStyle w:val="22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- </w:t>
      </w:r>
      <w:r>
        <w:rPr>
          <w:sz w:val="22"/>
          <w:szCs w:val="22"/>
        </w:rPr>
        <w:t>ООО «Экосистема недвижимости «М2»</w:t>
      </w:r>
      <w:r>
        <w:rPr>
          <w:sz w:val="21"/>
          <w:szCs w:val="21"/>
        </w:rPr>
        <w:t>;</w:t>
      </w:r>
    </w:p>
    <w:p w14:paraId="3B4F368F">
      <w:pPr>
        <w:pStyle w:val="22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удостоверяющему центру  - ООО «ТехноКад», АО «Аналитический центр»  или иное;</w:t>
      </w:r>
    </w:p>
    <w:p w14:paraId="68ECE915">
      <w:pPr>
        <w:pStyle w:val="22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 и др.</w:t>
      </w:r>
    </w:p>
    <w:p w14:paraId="63B6C25D">
      <w:pPr>
        <w:pStyle w:val="22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12.2. Участник долевого строительства дает согласие Застройщику объединять персональные данные в информационную систему и обрабатывать персональные данные Участника долевого строительства, указанные в п. 15.2. настоящего Договора, с помощью средств автоматизации, а также иных программных средств, специально разработанных по поручению Застройщика. Застройщиком используются следующие способы обработки персональных данных, включая, но не ограничиваясь: электронная база данных. </w:t>
      </w:r>
    </w:p>
    <w:p w14:paraId="754B4DA9">
      <w:pPr>
        <w:pStyle w:val="22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12.3. Участник долевого строительства в соответствии с Федеральным законом РФ от 27.07.2006 г. № 152-ФЗ «О персональных данных», имеет право:</w:t>
      </w:r>
    </w:p>
    <w:p w14:paraId="64EF5177">
      <w:pPr>
        <w:pStyle w:val="22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на получение сведений о наличии своих персональных данных у Застройщика;</w:t>
      </w:r>
    </w:p>
    <w:p w14:paraId="4C1532D9">
      <w:pPr>
        <w:pStyle w:val="22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 - на ознакомление со своими персональными данными, за исключением случаев, предусмотренных ч. 8. ст. 14 Федерального закона РФ от 27.07.2006 г. № 152-ФЗ «О персональных данных»;</w:t>
      </w:r>
    </w:p>
    <w:p w14:paraId="644C88E5">
      <w:pPr>
        <w:pStyle w:val="22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- потребовать от Застройщика уточнения его персональных данных, их блокирования или уничтожения, в случае, если первоначальные данные являются неполными, устаревшими, неточными, незаконно полученными или не являются необходимыми для заявленных целей их обработки.</w:t>
      </w:r>
    </w:p>
    <w:p w14:paraId="672C9FC4">
      <w:pPr>
        <w:pStyle w:val="22"/>
        <w:ind w:left="0" w:firstLine="420"/>
        <w:jc w:val="both"/>
        <w:rPr>
          <w:sz w:val="21"/>
          <w:szCs w:val="21"/>
        </w:rPr>
      </w:pPr>
      <w:r>
        <w:rPr>
          <w:sz w:val="21"/>
          <w:szCs w:val="21"/>
        </w:rPr>
        <w:t>12.4. Данное Участником долевого строительства согласие на обработку персональных данных является бессрочным и может быть отозвано Участником долевого строительства посредством направления письменного заявления по адресу Застройщика, указанному в разделе 15 настоящего Договора, с регистрацией его в качестве входящей корреспонденции Застройщика с присвоением входящего номера.</w:t>
      </w:r>
    </w:p>
    <w:p w14:paraId="35FA1598">
      <w:pPr>
        <w:pStyle w:val="22"/>
        <w:widowControl w:val="0"/>
        <w:shd w:val="clear" w:color="auto" w:fill="FFFFFF"/>
        <w:tabs>
          <w:tab w:val="left" w:pos="142"/>
          <w:tab w:val="left" w:pos="284"/>
          <w:tab w:val="left" w:pos="851"/>
          <w:tab w:val="left" w:pos="10206"/>
        </w:tabs>
        <w:autoSpaceDE w:val="0"/>
        <w:autoSpaceDN w:val="0"/>
        <w:adjustRightInd w:val="0"/>
        <w:ind w:left="420" w:right="-284"/>
        <w:jc w:val="both"/>
        <w:rPr>
          <w:spacing w:val="-11"/>
          <w:sz w:val="21"/>
          <w:szCs w:val="21"/>
        </w:rPr>
      </w:pPr>
    </w:p>
    <w:p w14:paraId="561B3791">
      <w:pPr>
        <w:pStyle w:val="23"/>
        <w:widowControl/>
        <w:ind w:left="1080" w:firstLine="0"/>
        <w:rPr>
          <w:rFonts w:ascii="Times New Roman" w:hAnsi="Times New Roman" w:cs="Times New Roman"/>
          <w:b/>
          <w:sz w:val="21"/>
          <w:szCs w:val="21"/>
        </w:rPr>
      </w:pPr>
    </w:p>
    <w:p w14:paraId="6D2F9D39">
      <w:pPr>
        <w:pStyle w:val="23"/>
        <w:widowControl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ЗАКЛЮЧИТЕЛЬНЫЕ ПОЛОЖЕНИЯ</w:t>
      </w:r>
    </w:p>
    <w:p w14:paraId="56AF94F5">
      <w:pPr>
        <w:pStyle w:val="23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 xml:space="preserve">13.1. Во всем остальном, что не предусмотрено настоящим Договором, Стороны руководствуются </w:t>
      </w:r>
      <w:r>
        <w:rPr>
          <w:rFonts w:ascii="Times New Roman" w:hAnsi="Times New Roman" w:cs="Times New Roman"/>
          <w:b/>
          <w:sz w:val="21"/>
          <w:szCs w:val="21"/>
        </w:rPr>
        <w:t>Федеральным законом</w:t>
      </w:r>
      <w:r>
        <w:rPr>
          <w:rFonts w:ascii="Times New Roman" w:hAnsi="Times New Roman" w:cs="Times New Roman"/>
          <w:sz w:val="21"/>
          <w:szCs w:val="21"/>
        </w:rPr>
        <w:t xml:space="preserve"> </w:t>
      </w:r>
      <w:r>
        <w:rPr>
          <w:rFonts w:ascii="Times New Roman" w:hAnsi="Times New Roman" w:cs="Times New Roman"/>
          <w:b/>
          <w:sz w:val="21"/>
          <w:szCs w:val="21"/>
        </w:rPr>
        <w:t xml:space="preserve">«Об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Федерации» от 30.12.2004 г. № 214-ФЗ </w:t>
      </w:r>
      <w:r>
        <w:rPr>
          <w:rFonts w:ascii="Times New Roman" w:hAnsi="Times New Roman" w:cs="Times New Roman"/>
          <w:sz w:val="21"/>
          <w:szCs w:val="21"/>
        </w:rPr>
        <w:t>и другими нормативными правовыми актами.</w:t>
      </w:r>
    </w:p>
    <w:p w14:paraId="28F26195">
      <w:pPr>
        <w:pStyle w:val="23"/>
        <w:widowControl/>
        <w:ind w:firstLine="54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13.2. Стороны будут разрешать возникающие между ними споры и разногласия путем переговоров.</w:t>
      </w:r>
    </w:p>
    <w:p w14:paraId="75965E27">
      <w:pPr>
        <w:pStyle w:val="13"/>
        <w:tabs>
          <w:tab w:val="left" w:pos="567"/>
        </w:tabs>
        <w:spacing w:after="0"/>
        <w:ind w:left="0" w:firstLine="540"/>
        <w:jc w:val="both"/>
        <w:rPr>
          <w:sz w:val="21"/>
          <w:szCs w:val="21"/>
        </w:rPr>
      </w:pPr>
      <w:r>
        <w:rPr>
          <w:sz w:val="21"/>
          <w:szCs w:val="21"/>
        </w:rPr>
        <w:t>13.3. При неурегулировании в процессе переговоров, все споры, возникающие между Сторонами по настоящему Договору, подлежат рассмотрению: если согласно действующему законодательству иск Участника долевого строительства относится к категории исков о защите прав потребителей – в суде, определяемом Участником долевого строительства самостоятельно в соответствии с законодательством о защите прав потребителей; в случае, если истцом выступает Застройщик - в Федеральном суде Центрального района г. Кемерово или Мировым судьей Судебного участка № 5 Центрального района г. Кемерово. В случае если согласно действующему законодательству иск Участника долевого строительства не относится к категории исков о защите прав потребителей, то споры, возникающие между сторонами по настоящему Договору или в связи с ним, либо вытекающие из него, в том числе касающиеся его исполнения, нарушения, прекращения или недействительности, подлежат рассмотрению в Федеральном суде Центрального района г. Кемерово или Мировым судьей Судебного участка № 5 Центрального района г. Кемерово.</w:t>
      </w:r>
    </w:p>
    <w:p w14:paraId="24A6F3E2">
      <w:pPr>
        <w:pStyle w:val="23"/>
        <w:widowControl/>
        <w:ind w:firstLine="540"/>
        <w:jc w:val="both"/>
        <w:rPr>
          <w:rFonts w:ascii="Times New Roman" w:hAnsi="Times New Roman" w:cs="Times New Roman"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 w:val="21"/>
          <w:szCs w:val="21"/>
        </w:rPr>
        <w:t>13.4. Условия настоящего Договора и дополнительных соглашений к нему конфиденциальны и не подлежат разглашению.</w:t>
      </w:r>
      <w:r>
        <w:rPr>
          <w:rFonts w:ascii="Times New Roman" w:hAnsi="Times New Roman" w:cs="Times New Roman"/>
          <w:bCs/>
          <w:color w:val="000000"/>
          <w:sz w:val="21"/>
          <w:szCs w:val="21"/>
        </w:rPr>
        <w:t xml:space="preserve"> </w:t>
      </w:r>
      <w:r>
        <w:rPr>
          <w:rFonts w:ascii="Times New Roman" w:hAnsi="Times New Roman" w:cs="Times New Roman"/>
          <w:bCs/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Если Сторона в связи с исполнением своего обязательства по настоящему Договору, получила от другой Стороны информацию о новых решениях или технических знаниях, в том числе не защищаемых законом, а также сведения, которые могут рассматриваться как коммерческая тайна в соответствии с Федеральным законом от 29 июля 2004 г. №98-ФЗ «О коммерческой тайне», Сторона, получившая такую информацию, не вправе сообщать ее третьим лицам без согласия другой Стороны.</w:t>
      </w:r>
    </w:p>
    <w:p w14:paraId="33E6E65D">
      <w:pPr>
        <w:ind w:firstLine="540"/>
        <w:jc w:val="both"/>
        <w:rPr>
          <w:sz w:val="21"/>
          <w:szCs w:val="21"/>
        </w:rPr>
      </w:pPr>
      <w:r>
        <w:rPr>
          <w:color w:val="000000" w:themeColor="text1"/>
          <w:sz w:val="21"/>
          <w:szCs w:val="21"/>
          <w14:textFill>
            <w14:solidFill>
              <w14:schemeClr w14:val="tx1"/>
            </w14:solidFill>
          </w14:textFill>
        </w:rPr>
        <w:t>13.5. Стороны обязаны извещать друг друга об изменении своих данных: наименования,</w:t>
      </w:r>
      <w:r>
        <w:rPr>
          <w:sz w:val="21"/>
          <w:szCs w:val="21"/>
        </w:rPr>
        <w:t xml:space="preserve"> юридического и почтового адреса, адреса регистрации (проживания), паспортных данных, номеров телефонов, факсов, электронной почты и т.д. Сторона, не известившая об изменении своих данных, не вправе впоследствии ссылаться на неполучение документов, уведомлений и иной информации, неполученной по измененному адресу, телефону и т.д. </w:t>
      </w:r>
    </w:p>
    <w:p w14:paraId="3C205FA4">
      <w:pPr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13.6. Все документы, а также заявления, уведомления, извещения, требования и иные юридически значимые сообщения в рамках настоящего Договора осуществляются посредством электронной, факсимильной, почтовой, телефонной связи, курьерской службы в зависимости от указания имеющихся средств связи в реквизитах сторон. Документы, полученные посредством электронной связи, имеют юридическую силу для Сторон. Сторона считается уведомленной в зависимости от средства связи в следующих случаях: с даты, направления сообщения по электронной почте, с предоставлением подтверждающего документа; с даты, указанной в отметке факсимильного аппарата Стороны отправителя с его наименованием и номером телефона; с даты уведомления о вручении либо по истечении 10 (десяти) календарных дней с даты направления Обществом сообщения при направлении  почтовой/курьерской службой; с даты принятия телефонограммы, переданной посредством телефонной связи.</w:t>
      </w:r>
    </w:p>
    <w:p w14:paraId="4101F8F6">
      <w:pPr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 xml:space="preserve">Все документы и юридически значимые сообщения, направленные Участником долевого строительства Застройщику, подлежат рассмотрению только при условии их поступления по адресу Застройщика, указанному в разделе 15 настоящего Договора, и регистрации их в качестве входящей корреспонденции Застройщика с присвоением входящего номера. </w:t>
      </w:r>
    </w:p>
    <w:p w14:paraId="03B8BBCE">
      <w:pPr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Участник долевого строительства подтверждает, что адрес, указанный в разделе 15 настоящего Договора, является единственным адресом получения Участником долевого строительства почтовой корреспонденции, ответственность за надлежащий адрес получателя лежит на Участнике долевого строительства.</w:t>
      </w:r>
    </w:p>
    <w:p w14:paraId="6109776B">
      <w:pPr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13.7. Недействительность какого-либо из условий настоящего Договора не влечет недействительности прочих его условий.</w:t>
      </w:r>
    </w:p>
    <w:p w14:paraId="43373CCE">
      <w:pPr>
        <w:pStyle w:val="23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1"/>
          <w:szCs w:val="21"/>
        </w:rPr>
        <w:t>13.8.</w:t>
      </w:r>
      <w:r>
        <w:rPr>
          <w:rFonts w:ascii="Times New Roman" w:hAnsi="Times New Roman" w:cs="Times New Roman"/>
          <w:sz w:val="22"/>
          <w:szCs w:val="22"/>
        </w:rPr>
        <w:t xml:space="preserve"> В соответствии с действующим законодательством стороны установили, что настоящий договор подписывается усиленной квалифицированной электронной подписью сторонами договора и предоставляется на государственную регистрацию в форме электронного документа. При этом удостоверяющим центром, осуществляющим функции по созданию и выдаче сертификатов ключей проверки электронных подписей, а также иные функции, предусмотренные действующим законодательством, является ООО «ТехноКад», АО «Аналитический центр»  или иное. </w:t>
      </w:r>
    </w:p>
    <w:p w14:paraId="39248B1F">
      <w:pPr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13.9 Стороны подтверждают, что положения пункта 4.1. настоящего Договора являются совместной офертой Застройщика и Участника долевого строительства, адресованной Банк ВТБ «ПАО» в целях заключения Договора счета эскроу в соответствии с Общими условиями открытия и обслуживания счета эскроу», размещенными Банк ВТБ «ПАО» на официальном сайте www.vtb.ru в сети Интернет, а также в подразделениях Банк ВТБ «ПАО», в которых осуществляется открытие счета эскроу, в доступном для размещения месте.</w:t>
      </w:r>
    </w:p>
    <w:p w14:paraId="49F9E766">
      <w:pPr>
        <w:ind w:firstLine="540"/>
        <w:jc w:val="both"/>
        <w:rPr>
          <w:sz w:val="21"/>
          <w:szCs w:val="21"/>
        </w:rPr>
      </w:pPr>
      <w:r>
        <w:rPr>
          <w:sz w:val="21"/>
          <w:szCs w:val="21"/>
        </w:rPr>
        <w:t>13.10. Подписывая настоящий Договор Стороны подтверждают, что уведомлены и согласны с тем, что  Договор счета эскроу считается заключенным с момента открытия Банк ВТБ «ПАО» счета эскроу, о чем они будут уведомлены в порядке, установленном Общими условиями открытия и обслуживания счета эскроу.</w:t>
      </w:r>
    </w:p>
    <w:p w14:paraId="132F044E">
      <w:pPr>
        <w:pStyle w:val="23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</w:p>
    <w:p w14:paraId="0DC4EC6C">
      <w:pPr>
        <w:pStyle w:val="23"/>
        <w:widowControl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ПРИЛОЖЕНИЯ</w:t>
      </w:r>
    </w:p>
    <w:p w14:paraId="56AE94AB">
      <w:pPr>
        <w:pStyle w:val="23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</w:p>
    <w:p w14:paraId="028A4F1F">
      <w:pPr>
        <w:pStyle w:val="23"/>
        <w:widowControl/>
        <w:ind w:firstLine="0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К настоящему Договору прилагаются и являются его неотъемлемой частью:</w:t>
      </w:r>
    </w:p>
    <w:p w14:paraId="0F0A1A6D">
      <w:pPr>
        <w:pStyle w:val="23"/>
        <w:widowControl/>
        <w:ind w:firstLine="0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Приложение № 1– План подлежащего передаче Помещения.</w:t>
      </w:r>
    </w:p>
    <w:p w14:paraId="11A489FD">
      <w:pPr>
        <w:pStyle w:val="21"/>
        <w:spacing w:line="276" w:lineRule="auto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Приложение № 2 – Паспорт отделки Помещения. </w:t>
      </w:r>
    </w:p>
    <w:p w14:paraId="704E76D7">
      <w:pPr>
        <w:pStyle w:val="21"/>
        <w:spacing w:line="276" w:lineRule="auto"/>
        <w:jc w:val="both"/>
        <w:rPr>
          <w:b/>
          <w:sz w:val="21"/>
          <w:szCs w:val="21"/>
        </w:rPr>
      </w:pPr>
    </w:p>
    <w:p w14:paraId="0D31FE56">
      <w:pPr>
        <w:pStyle w:val="23"/>
        <w:widowControl/>
        <w:numPr>
          <w:ilvl w:val="0"/>
          <w:numId w:val="7"/>
        </w:numPr>
        <w:jc w:val="center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АДРЕСА И РЕКВИЗИТЫ СТОРОН</w:t>
      </w:r>
    </w:p>
    <w:p w14:paraId="51F6CFD4">
      <w:pPr>
        <w:jc w:val="both"/>
        <w:rPr>
          <w:sz w:val="21"/>
          <w:szCs w:val="21"/>
        </w:rPr>
      </w:pPr>
      <w:r>
        <w:rPr>
          <w:b/>
          <w:sz w:val="21"/>
          <w:szCs w:val="21"/>
        </w:rPr>
        <w:t>15.1. Застройщик</w:t>
      </w:r>
      <w:r>
        <w:rPr>
          <w:sz w:val="21"/>
          <w:szCs w:val="21"/>
        </w:rPr>
        <w:t xml:space="preserve">: </w:t>
      </w:r>
    </w:p>
    <w:p w14:paraId="048FE6C3">
      <w:pPr>
        <w:tabs>
          <w:tab w:val="left" w:pos="709"/>
        </w:tabs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ООО  СЗ «СДС-Финанс», </w:t>
      </w:r>
      <w:r>
        <w:rPr>
          <w:sz w:val="21"/>
          <w:szCs w:val="21"/>
        </w:rPr>
        <w:t xml:space="preserve">650992, Кемеровская область, г. Кемерово, ул. Весенняя, дом 5, помещение 45, ИНН/КПП 4205096445/420501001, ОГРН 1054205257204. </w:t>
      </w:r>
    </w:p>
    <w:p w14:paraId="1F948C27">
      <w:pPr>
        <w:ind w:left="-993" w:firstLine="567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        </w:t>
      </w:r>
    </w:p>
    <w:p w14:paraId="20D16852">
      <w:pPr>
        <w:ind w:left="-993" w:firstLine="567"/>
        <w:jc w:val="both"/>
        <w:rPr>
          <w:b/>
          <w:sz w:val="21"/>
          <w:szCs w:val="21"/>
        </w:rPr>
      </w:pPr>
      <w:r>
        <w:rPr>
          <w:b/>
          <w:sz w:val="21"/>
          <w:szCs w:val="21"/>
        </w:rPr>
        <w:t xml:space="preserve">        </w:t>
      </w:r>
      <w:r>
        <w:rPr>
          <w:b/>
          <w:sz w:val="21"/>
          <w:szCs w:val="21"/>
          <w:lang w:val="en-US"/>
        </w:rPr>
        <w:t xml:space="preserve">15.2. </w:t>
      </w:r>
      <w:r>
        <w:rPr>
          <w:b/>
          <w:sz w:val="21"/>
          <w:szCs w:val="21"/>
        </w:rPr>
        <w:t>Участник  долевого</w:t>
      </w:r>
      <w:r>
        <w:rPr>
          <w:b/>
          <w:sz w:val="21"/>
          <w:szCs w:val="21"/>
          <w:lang w:val="en-US"/>
        </w:rPr>
        <w:t xml:space="preserve"> </w:t>
      </w:r>
      <w:r>
        <w:rPr>
          <w:b/>
          <w:sz w:val="21"/>
          <w:szCs w:val="21"/>
        </w:rPr>
        <w:t>строительства</w:t>
      </w:r>
      <w:r>
        <w:rPr>
          <w:b/>
          <w:sz w:val="21"/>
          <w:szCs w:val="21"/>
          <w:lang w:val="en-US"/>
        </w:rPr>
        <w:t>:</w:t>
      </w:r>
      <w:r>
        <w:rPr>
          <w:sz w:val="21"/>
          <w:szCs w:val="21"/>
          <w:lang w:val="en-US"/>
        </w:rPr>
        <w:t xml:space="preserve"> </w:t>
      </w:r>
      <w:r>
        <w:rPr>
          <w:sz w:val="21"/>
          <w:szCs w:val="21"/>
        </w:rPr>
        <w:t xml:space="preserve"> </w:t>
      </w:r>
    </w:p>
    <w:tbl>
      <w:tblPr>
        <w:tblStyle w:val="17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1"/>
      </w:tblGrid>
      <w:tr w14:paraId="215877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490" w:type="dxa"/>
          </w:tcPr>
          <w:p w14:paraId="1C9BD574">
            <w:pPr>
              <w:pStyle w:val="53"/>
              <w:widowControl/>
              <w:ind w:left="33" w:right="0" w:firstLine="567"/>
              <w:jc w:val="both"/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</w:pPr>
            <w:r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 xml:space="preserve">________________,  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место рождения: ______________________</w:t>
            </w: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,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паспорт ___________________,  выдан _____________________  г., проживающий</w:t>
            </w:r>
            <w:r>
              <w:rPr>
                <w:rFonts w:ascii="Times New Roman" w:hAnsi="Times New Roman" w:cs="Times New Roman"/>
                <w:bCs/>
                <w:color w:val="FF0000"/>
                <w:sz w:val="21"/>
                <w:szCs w:val="21"/>
                <w:lang w:eastAsia="en-US"/>
              </w:rPr>
              <w:t>(ая)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 xml:space="preserve"> по адресу: _________________________________________,  тел. _____________________, 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  <w:lang w:val="en-US" w:eastAsia="en-US"/>
              </w:rPr>
              <w:t>e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-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  <w:lang w:val="en-US" w:eastAsia="en-US"/>
              </w:rPr>
              <w:t>mail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  <w:lang w:eastAsia="en-US"/>
              </w:rPr>
              <w:t>: ________________________,</w:t>
            </w:r>
            <w:r>
              <w:rPr>
                <w:rFonts w:ascii="Times New Roman" w:hAnsi="Times New Roman" w:cs="Times New Roman"/>
                <w:bCs/>
                <w:sz w:val="21"/>
                <w:szCs w:val="21"/>
              </w:rPr>
              <w:t>СНИЛС _________________</w:t>
            </w:r>
            <w:r>
              <w:rPr>
                <w:rFonts w:ascii="Times New Roman" w:hAnsi="Times New Roman" w:cs="Times New Roman"/>
                <w:sz w:val="21"/>
                <w:szCs w:val="21"/>
                <w:shd w:val="clear" w:color="auto" w:fill="FFFFFF"/>
              </w:rPr>
              <w:t>.</w:t>
            </w:r>
          </w:p>
        </w:tc>
      </w:tr>
    </w:tbl>
    <w:p w14:paraId="59EAFBA5">
      <w:pPr>
        <w:rPr>
          <w:b/>
          <w:sz w:val="21"/>
          <w:szCs w:val="21"/>
        </w:rPr>
      </w:pPr>
    </w:p>
    <w:p w14:paraId="26C4E1BA">
      <w:pPr>
        <w:jc w:val="center"/>
        <w:rPr>
          <w:b/>
          <w:sz w:val="21"/>
          <w:szCs w:val="21"/>
        </w:rPr>
      </w:pPr>
      <w:r>
        <w:rPr>
          <w:b/>
          <w:sz w:val="21"/>
          <w:szCs w:val="21"/>
        </w:rPr>
        <w:t>ПОДПИСИ СТОРОН:</w:t>
      </w:r>
    </w:p>
    <w:p w14:paraId="6A146EEA">
      <w:pPr>
        <w:ind w:right="-50" w:firstLine="540"/>
        <w:jc w:val="both"/>
        <w:rPr>
          <w:sz w:val="21"/>
          <w:szCs w:val="21"/>
        </w:rPr>
      </w:pPr>
      <w:r>
        <w:rPr>
          <w:sz w:val="21"/>
          <w:szCs w:val="21"/>
        </w:rPr>
        <w:t>При подписании настоящего Договора Участник долевого строительства подтверждает, что он в дееспособности не ограничен; под опекой, попечительством, а также патронажем не состоит; не находится в состоянии алкогольного, токсического, наркотического опьянения, по состоянию здоровья может самостоятельно осуществлять и защищать свои права и исполнять обязанности; не страдает заболеваниями, препятствующими осознавать суть подписываемого Договора и обстоятельств его заключения, что у него отсутствуют обстоятельства, вынуждающие совершить данную сделку на крайне невыгодных для себя условиях, что не находится под влиянием заблуждения, обмана, насилия, злонамеренного соглашения, угрозы или стечением тяжелых обстоятельств.</w:t>
      </w:r>
    </w:p>
    <w:p w14:paraId="2CEFF8C0">
      <w:pPr>
        <w:pStyle w:val="53"/>
        <w:widowControl/>
        <w:ind w:right="-50" w:firstLine="567"/>
        <w:jc w:val="both"/>
        <w:rPr>
          <w:rFonts w:ascii="Times New Roman" w:hAnsi="Times New Roman" w:cs="Times New Roman"/>
          <w:b/>
          <w:sz w:val="21"/>
          <w:szCs w:val="21"/>
        </w:rPr>
      </w:pPr>
      <w:r>
        <w:rPr>
          <w:rFonts w:ascii="Times New Roman" w:hAnsi="Times New Roman" w:cs="Times New Roman"/>
          <w:b/>
          <w:sz w:val="21"/>
          <w:szCs w:val="21"/>
        </w:rPr>
        <w:t>Текст настоящего Договора прочитан полностью, все условия, указанные в настоящем Договоре, соответствуют моему действительному волеизъявлению, смысл и значение, юридические последствия настоящего Договора мне понятны, адрес, фамилия, имя, отчество и другие сведения соответствуют предоставленной мной информации.</w:t>
      </w:r>
    </w:p>
    <w:p w14:paraId="0D26AD41">
      <w:pPr>
        <w:pStyle w:val="53"/>
        <w:widowControl/>
        <w:ind w:right="-50" w:firstLine="567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1FD13F60">
      <w:pPr>
        <w:pStyle w:val="53"/>
        <w:widowControl/>
        <w:ind w:right="-50" w:firstLine="567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39791886">
      <w:pPr>
        <w:tabs>
          <w:tab w:val="left" w:pos="3720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ЗАСТРОЙЩИК                                                             УЧАСТНИК ДОЛЕВОГО СТРОИТЕЛЬСТВА</w:t>
      </w:r>
    </w:p>
    <w:p w14:paraId="75AE8D91">
      <w:pPr>
        <w:pStyle w:val="53"/>
        <w:widowControl/>
        <w:ind w:right="-50" w:firstLine="567"/>
        <w:jc w:val="both"/>
        <w:rPr>
          <w:rFonts w:ascii="Times New Roman" w:hAnsi="Times New Roman" w:cs="Times New Roman"/>
          <w:b/>
          <w:sz w:val="21"/>
          <w:szCs w:val="21"/>
        </w:rPr>
      </w:pPr>
    </w:p>
    <w:p w14:paraId="4479D90E">
      <w:pPr>
        <w:pageBreakBefore/>
        <w:ind w:firstLine="5954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 1</w:t>
      </w:r>
    </w:p>
    <w:p w14:paraId="1188BEC9">
      <w:pPr>
        <w:pStyle w:val="25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 xml:space="preserve"> к договору № </w:t>
      </w:r>
      <w:bookmarkStart w:id="0" w:name="_Hlk35871553"/>
      <w:r>
        <w:rPr>
          <w:rFonts w:ascii="Times New Roman" w:hAnsi="Times New Roman" w:cs="Times New Roman"/>
          <w:b w:val="0"/>
          <w:sz w:val="22"/>
          <w:szCs w:val="22"/>
        </w:rPr>
        <w:t>____________</w:t>
      </w:r>
    </w:p>
    <w:p w14:paraId="460BF08C">
      <w:pPr>
        <w:tabs>
          <w:tab w:val="left" w:pos="5954"/>
        </w:tabs>
        <w:ind w:left="5954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участия в долевом  строительстве  многоквартирного дома от  </w:t>
      </w:r>
      <w:bookmarkEnd w:id="0"/>
      <w:r>
        <w:rPr>
          <w:sz w:val="22"/>
          <w:szCs w:val="22"/>
        </w:rPr>
        <w:t>_________20_____ г.</w:t>
      </w:r>
    </w:p>
    <w:p w14:paraId="5318084B">
      <w:pPr>
        <w:ind w:left="4140"/>
        <w:rPr>
          <w:sz w:val="22"/>
          <w:szCs w:val="22"/>
        </w:rPr>
      </w:pPr>
    </w:p>
    <w:p w14:paraId="5C03127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План подлежащего передаче Помещения</w:t>
      </w:r>
    </w:p>
    <w:p w14:paraId="7CE93F2A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Российская Федерация, Кемеровская область- Кузбасс, Кемеровский городской округ, город Кемерово,  микрорайон 64, стр. №51,</w:t>
      </w:r>
    </w:p>
    <w:p w14:paraId="1B2934D5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Жилой дом №  </w:t>
      </w:r>
      <w:bookmarkStart w:id="1" w:name="_Hlk35871592"/>
      <w:r>
        <w:rPr>
          <w:b/>
          <w:sz w:val="22"/>
          <w:szCs w:val="22"/>
        </w:rPr>
        <w:t>51/5</w:t>
      </w:r>
      <w:bookmarkEnd w:id="1"/>
      <w:r>
        <w:rPr>
          <w:b/>
          <w:sz w:val="22"/>
          <w:szCs w:val="22"/>
        </w:rPr>
        <w:t xml:space="preserve"> (строительный),</w:t>
      </w:r>
    </w:p>
    <w:p w14:paraId="16DC8B8D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Подъезд  _____ Квартира № ______  </w:t>
      </w:r>
      <w:bookmarkStart w:id="2" w:name="_Hlk35871618"/>
      <w:r>
        <w:rPr>
          <w:b/>
          <w:sz w:val="22"/>
          <w:szCs w:val="22"/>
        </w:rPr>
        <w:t>(_______</w:t>
      </w:r>
      <w:r>
        <w:rPr>
          <w:b/>
          <w:bCs/>
          <w:sz w:val="22"/>
          <w:szCs w:val="22"/>
        </w:rPr>
        <w:t xml:space="preserve"> </w:t>
      </w:r>
      <w:r>
        <w:rPr>
          <w:b/>
          <w:sz w:val="22"/>
          <w:szCs w:val="22"/>
        </w:rPr>
        <w:t>этаж)</w:t>
      </w:r>
      <w:bookmarkEnd w:id="2"/>
    </w:p>
    <w:p w14:paraId="25E24E3B">
      <w:pPr>
        <w:jc w:val="center"/>
        <w:rPr>
          <w:b/>
          <w:sz w:val="22"/>
          <w:szCs w:val="22"/>
        </w:rPr>
      </w:pPr>
    </w:p>
    <w:p w14:paraId="75DFF523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>
        <w:rPr>
          <w:b/>
          <w:bCs/>
          <w:spacing w:val="-4"/>
          <w:sz w:val="22"/>
          <w:szCs w:val="22"/>
          <w:u w:val="single"/>
        </w:rPr>
        <w:t>План этажа</w:t>
      </w:r>
    </w:p>
    <w:p w14:paraId="2BCC3966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14:paraId="54C2D74B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</w:p>
    <w:p w14:paraId="51CA3EE6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bookmarkStart w:id="3" w:name="_Hlk35871623"/>
    </w:p>
    <w:bookmarkEnd w:id="3"/>
    <w:p w14:paraId="56DBD18C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14:paraId="4A02D973">
      <w:pPr>
        <w:widowControl w:val="0"/>
        <w:shd w:val="clear" w:color="auto" w:fill="FFFFFF"/>
        <w:autoSpaceDE w:val="0"/>
        <w:autoSpaceDN w:val="0"/>
        <w:adjustRightInd w:val="0"/>
        <w:rPr>
          <w:b/>
          <w:bCs/>
          <w:spacing w:val="-4"/>
          <w:sz w:val="22"/>
          <w:szCs w:val="22"/>
          <w:u w:val="single"/>
        </w:rPr>
      </w:pPr>
    </w:p>
    <w:p w14:paraId="6A5CF8B3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b/>
          <w:bCs/>
          <w:spacing w:val="-4"/>
          <w:sz w:val="22"/>
          <w:szCs w:val="22"/>
          <w:u w:val="single"/>
        </w:rPr>
      </w:pPr>
      <w:r>
        <w:rPr>
          <w:b/>
          <w:bCs/>
          <w:spacing w:val="-4"/>
          <w:sz w:val="22"/>
          <w:szCs w:val="22"/>
          <w:u w:val="single"/>
        </w:rPr>
        <w:t>План Помещения № _____:</w:t>
      </w:r>
    </w:p>
    <w:p w14:paraId="0BBDE8C3">
      <w:pPr>
        <w:widowControl w:val="0"/>
        <w:shd w:val="clear" w:color="auto" w:fill="FFFFFF"/>
        <w:autoSpaceDE w:val="0"/>
        <w:autoSpaceDN w:val="0"/>
        <w:adjustRightInd w:val="0"/>
        <w:jc w:val="center"/>
        <w:rPr>
          <w:sz w:val="22"/>
          <w:szCs w:val="22"/>
          <w:u w:val="single"/>
        </w:rPr>
      </w:pPr>
    </w:p>
    <w:p w14:paraId="0F972C60">
      <w:pPr>
        <w:jc w:val="center"/>
        <w:rPr>
          <w:sz w:val="22"/>
          <w:szCs w:val="22"/>
        </w:rPr>
      </w:pPr>
    </w:p>
    <w:p w14:paraId="358E26CF">
      <w:pPr>
        <w:jc w:val="center"/>
        <w:rPr>
          <w:sz w:val="22"/>
          <w:szCs w:val="22"/>
        </w:rPr>
      </w:pPr>
    </w:p>
    <w:p w14:paraId="29739510">
      <w:pPr>
        <w:jc w:val="center"/>
        <w:rPr>
          <w:sz w:val="22"/>
          <w:szCs w:val="22"/>
        </w:rPr>
      </w:pPr>
    </w:p>
    <w:p w14:paraId="522A53B0">
      <w:pPr>
        <w:jc w:val="center"/>
        <w:rPr>
          <w:sz w:val="22"/>
          <w:szCs w:val="22"/>
        </w:rPr>
      </w:pPr>
    </w:p>
    <w:p w14:paraId="3CD96EB7">
      <w:pPr>
        <w:jc w:val="center"/>
        <w:rPr>
          <w:sz w:val="22"/>
          <w:szCs w:val="22"/>
        </w:rPr>
      </w:pPr>
    </w:p>
    <w:p w14:paraId="7C792BE8">
      <w:pPr>
        <w:jc w:val="center"/>
        <w:rPr>
          <w:sz w:val="22"/>
          <w:szCs w:val="22"/>
        </w:rPr>
      </w:pPr>
      <w:r>
        <w:rPr>
          <w:sz w:val="22"/>
          <w:szCs w:val="22"/>
        </w:rPr>
        <w:t>ПРИМЕЧАНИЕ:</w:t>
      </w:r>
    </w:p>
    <w:p w14:paraId="4F9663C8">
      <w:pPr>
        <w:pStyle w:val="22"/>
        <w:numPr>
          <w:ilvl w:val="0"/>
          <w:numId w:val="8"/>
        </w:numPr>
        <w:jc w:val="both"/>
        <w:rPr>
          <w:sz w:val="22"/>
          <w:szCs w:val="22"/>
        </w:rPr>
      </w:pPr>
      <w:r>
        <w:rPr>
          <w:sz w:val="22"/>
          <w:szCs w:val="22"/>
        </w:rPr>
        <w:t>Общая площадь Помещения указана согласно проектной документации и подлежит уточнению после проведения технической инвентаризации.</w:t>
      </w:r>
    </w:p>
    <w:p w14:paraId="577EDD46">
      <w:pPr>
        <w:pStyle w:val="22"/>
        <w:numPr>
          <w:ilvl w:val="0"/>
          <w:numId w:val="8"/>
        </w:numPr>
        <w:jc w:val="both"/>
        <w:rPr>
          <w:sz w:val="22"/>
          <w:szCs w:val="22"/>
        </w:rPr>
      </w:pPr>
      <w:r>
        <w:rPr>
          <w:sz w:val="22"/>
          <w:szCs w:val="22"/>
        </w:rPr>
        <w:t>Отделка Помещения не предполагает наличие в Помещении кухонного и сантехнического оборудования, схематически размещенного на данном плане.</w:t>
      </w:r>
    </w:p>
    <w:p w14:paraId="38FBBCAB">
      <w:pPr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При наличии в Помещение отделки, Помещение комплектуется сантехническим оборудованием в соответствии  с Паспортом отделки Помещения (Приложение №2).</w:t>
      </w:r>
    </w:p>
    <w:p w14:paraId="2C81B7BA">
      <w:pPr>
        <w:tabs>
          <w:tab w:val="left" w:pos="3720"/>
        </w:tabs>
        <w:jc w:val="both"/>
        <w:rPr>
          <w:b/>
          <w:sz w:val="22"/>
          <w:szCs w:val="22"/>
        </w:rPr>
      </w:pPr>
    </w:p>
    <w:p w14:paraId="0772189D">
      <w:pPr>
        <w:spacing w:line="276" w:lineRule="auto"/>
        <w:jc w:val="center"/>
        <w:rPr>
          <w:b/>
          <w:sz w:val="22"/>
          <w:szCs w:val="22"/>
        </w:rPr>
      </w:pPr>
    </w:p>
    <w:p w14:paraId="3F2701CC">
      <w:pPr>
        <w:tabs>
          <w:tab w:val="left" w:pos="3720"/>
        </w:tabs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ЗАСТРОЙЩИК                                                             УЧАСТНИК ДОЛЕВОГО СТРОИТЕЛЬСТВА</w:t>
      </w:r>
    </w:p>
    <w:p w14:paraId="567CC2E1">
      <w:pPr>
        <w:pageBreakBefore/>
        <w:ind w:firstLine="5954"/>
        <w:jc w:val="right"/>
        <w:rPr>
          <w:sz w:val="22"/>
          <w:szCs w:val="22"/>
        </w:rPr>
      </w:pPr>
      <w:r>
        <w:rPr>
          <w:sz w:val="22"/>
          <w:szCs w:val="22"/>
        </w:rPr>
        <w:t>Приложение № 2</w:t>
      </w:r>
    </w:p>
    <w:p w14:paraId="0B4D0E6E">
      <w:pPr>
        <w:pStyle w:val="25"/>
        <w:widowControl/>
        <w:jc w:val="right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 xml:space="preserve"> к договору № __________</w:t>
      </w:r>
    </w:p>
    <w:p w14:paraId="262F3986">
      <w:pPr>
        <w:tabs>
          <w:tab w:val="left" w:pos="5954"/>
        </w:tabs>
        <w:ind w:left="5954"/>
        <w:jc w:val="right"/>
        <w:rPr>
          <w:sz w:val="22"/>
          <w:szCs w:val="22"/>
        </w:rPr>
      </w:pPr>
      <w:r>
        <w:rPr>
          <w:sz w:val="22"/>
          <w:szCs w:val="22"/>
        </w:rPr>
        <w:t>участия в долевом  строительстве  многоквартирного дома от  _________20_____ г.</w:t>
      </w:r>
    </w:p>
    <w:p w14:paraId="7CBE9FEB">
      <w:pPr>
        <w:tabs>
          <w:tab w:val="left" w:pos="5954"/>
        </w:tabs>
        <w:rPr>
          <w:sz w:val="22"/>
          <w:szCs w:val="22"/>
        </w:rPr>
      </w:pPr>
    </w:p>
    <w:p w14:paraId="3809FD32">
      <w:pPr>
        <w:tabs>
          <w:tab w:val="left" w:pos="5954"/>
        </w:tabs>
        <w:rPr>
          <w:sz w:val="22"/>
          <w:szCs w:val="22"/>
        </w:rPr>
      </w:pPr>
    </w:p>
    <w:p w14:paraId="724346B2">
      <w:pPr>
        <w:spacing w:line="36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ПАСПОРТ ОТДЕЛКИ ПОМЕЩЕНИЙ,</w:t>
      </w:r>
    </w:p>
    <w:p w14:paraId="19FC0B36">
      <w:pPr>
        <w:pStyle w:val="21"/>
        <w:spacing w:line="360" w:lineRule="auto"/>
        <w:ind w:left="284" w:right="42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подлежащих передаче Застройщиком Участнику долевого строительства</w:t>
      </w:r>
    </w:p>
    <w:p w14:paraId="7546C37F">
      <w:pPr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ПОМЕЩЕНИЯ С ВНУТРЕННЕЙ ОТДЕЛКОЙ «ЧЕРНОВАЯ ОТДЕЛКА»:</w:t>
      </w:r>
    </w:p>
    <w:p w14:paraId="36C6D7C6">
      <w:pPr>
        <w:jc w:val="both"/>
        <w:rPr>
          <w:rFonts w:eastAsia="Calibri"/>
          <w:b/>
          <w:sz w:val="22"/>
          <w:szCs w:val="22"/>
          <w:lang w:eastAsia="en-US"/>
        </w:rPr>
      </w:pPr>
    </w:p>
    <w:p w14:paraId="57C202E9">
      <w:pPr>
        <w:rPr>
          <w:rFonts w:eastAsia="Calibri"/>
          <w:b/>
          <w:lang w:eastAsia="en-US"/>
        </w:rPr>
      </w:pPr>
    </w:p>
    <w:p w14:paraId="48F687ED">
      <w:pPr>
        <w:pStyle w:val="21"/>
        <w:spacing w:line="276" w:lineRule="auto"/>
        <w:ind w:left="284" w:right="426"/>
        <w:jc w:val="center"/>
        <w:rPr>
          <w:b/>
          <w:sz w:val="22"/>
          <w:szCs w:val="22"/>
          <w:u w:val="single"/>
        </w:rPr>
      </w:pPr>
    </w:p>
    <w:p w14:paraId="34C95C6D">
      <w:pPr>
        <w:pStyle w:val="21"/>
        <w:spacing w:line="276" w:lineRule="auto"/>
        <w:ind w:left="284" w:right="426"/>
        <w:jc w:val="center"/>
        <w:rPr>
          <w:b/>
          <w:sz w:val="22"/>
          <w:szCs w:val="22"/>
          <w:u w:val="single"/>
        </w:rPr>
      </w:pPr>
    </w:p>
    <w:p w14:paraId="2BEB8675">
      <w:pPr>
        <w:shd w:val="clear" w:color="auto" w:fill="FFFFFF"/>
        <w:spacing w:before="7" w:line="288" w:lineRule="exact"/>
        <w:jc w:val="center"/>
        <w:rPr>
          <w:rFonts w:eastAsia="Calibri"/>
          <w:lang w:eastAsia="en-US"/>
        </w:rPr>
      </w:pPr>
      <w:r>
        <w:rPr>
          <w:rFonts w:eastAsia="Calibri"/>
          <w:b/>
          <w:u w:val="single"/>
          <w:lang w:eastAsia="en-US"/>
        </w:rPr>
        <w:t>Примечание</w:t>
      </w:r>
      <w:r>
        <w:rPr>
          <w:rFonts w:eastAsia="Calibri"/>
          <w:b/>
          <w:lang w:eastAsia="en-US"/>
        </w:rPr>
        <w:t>:</w:t>
      </w:r>
    </w:p>
    <w:p w14:paraId="05920D93">
      <w:pPr>
        <w:shd w:val="clear" w:color="auto" w:fill="FFFFFF"/>
        <w:spacing w:before="7" w:line="288" w:lineRule="exact"/>
        <w:jc w:val="both"/>
        <w:rPr>
          <w:rFonts w:eastAsia="Calibri"/>
          <w:lang w:eastAsia="en-US"/>
        </w:rPr>
      </w:pPr>
      <w:r>
        <w:rPr>
          <w:rFonts w:eastAsia="Calibri"/>
          <w:lang w:eastAsia="en-US"/>
        </w:rPr>
        <w:t xml:space="preserve">        1. В ходе строительства для любого вида внутренней отделки возможны изменения в применении материалов, не влияющие на качество и стоимость работ, но ведущие к отличию внешнего вида выполненной отделки от внешнего вида материалов в выставочных квартирах</w:t>
      </w:r>
    </w:p>
    <w:p w14:paraId="4F1F766D">
      <w:pPr>
        <w:shd w:val="clear" w:color="auto" w:fill="FFFFFF"/>
        <w:spacing w:before="7" w:line="288" w:lineRule="exact"/>
        <w:ind w:firstLine="567"/>
        <w:jc w:val="both"/>
        <w:rPr>
          <w:sz w:val="22"/>
          <w:szCs w:val="22"/>
        </w:rPr>
      </w:pPr>
      <w:r>
        <w:rPr>
          <w:rFonts w:eastAsia="Calibri"/>
          <w:lang w:eastAsia="en-US"/>
        </w:rPr>
        <w:t>2. При наличии входящих в состав объекта долевого строительства элементы отделки, системы инженерно-технического обеспечения, конструктивные элементы, изделия, работы (малярные, плотничные, плиточные, штукатурные, обойные работы, настил линолеума, устройство подоконников) правила по эксплуатации устанавливаются Инструкцией по эксплуатации объекта долевого строительства</w:t>
      </w:r>
    </w:p>
    <w:p w14:paraId="050F0C04">
      <w:pPr>
        <w:shd w:val="clear" w:color="auto" w:fill="FFFFFF"/>
        <w:spacing w:before="7" w:line="288" w:lineRule="exact"/>
        <w:jc w:val="both"/>
        <w:rPr>
          <w:sz w:val="22"/>
          <w:szCs w:val="22"/>
        </w:rPr>
      </w:pPr>
    </w:p>
    <w:p w14:paraId="2D4CB5D1">
      <w:pPr>
        <w:shd w:val="clear" w:color="auto" w:fill="FFFFFF"/>
        <w:spacing w:before="7" w:line="288" w:lineRule="exact"/>
        <w:jc w:val="both"/>
        <w:rPr>
          <w:sz w:val="22"/>
          <w:szCs w:val="22"/>
        </w:rPr>
      </w:pPr>
    </w:p>
    <w:tbl>
      <w:tblPr>
        <w:tblStyle w:val="17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820"/>
        <w:gridCol w:w="5378"/>
      </w:tblGrid>
      <w:tr w14:paraId="7798F8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820" w:type="dxa"/>
          </w:tcPr>
          <w:p w14:paraId="72E7EDE3">
            <w:pPr>
              <w:jc w:val="both"/>
              <w:rPr>
                <w:sz w:val="22"/>
                <w:szCs w:val="22"/>
              </w:rPr>
            </w:pPr>
          </w:p>
          <w:p w14:paraId="469E0AEF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От имени ЗАСТРОЙЩИКА:</w:t>
            </w:r>
          </w:p>
          <w:p w14:paraId="38165B33">
            <w:pPr>
              <w:jc w:val="both"/>
              <w:rPr>
                <w:b/>
                <w:sz w:val="22"/>
                <w:szCs w:val="22"/>
              </w:rPr>
            </w:pPr>
          </w:p>
          <w:p w14:paraId="4CB58E57">
            <w:pPr>
              <w:jc w:val="both"/>
              <w:rPr>
                <w:b/>
                <w:sz w:val="22"/>
                <w:szCs w:val="22"/>
              </w:rPr>
            </w:pPr>
          </w:p>
          <w:p w14:paraId="6C227F23">
            <w:pPr>
              <w:jc w:val="both"/>
              <w:rPr>
                <w:b/>
                <w:sz w:val="22"/>
                <w:szCs w:val="22"/>
              </w:rPr>
            </w:pPr>
          </w:p>
          <w:p w14:paraId="02745243">
            <w:pPr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5378" w:type="dxa"/>
          </w:tcPr>
          <w:p w14:paraId="43848139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</w:p>
          <w:tbl>
            <w:tblPr>
              <w:tblStyle w:val="17"/>
              <w:tblW w:w="0" w:type="auto"/>
              <w:tblInd w:w="0" w:type="dxa"/>
              <w:tblBorders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  <w:insideH w:val="none" w:color="auto" w:sz="0" w:space="0"/>
                <w:insideV w:val="none" w:color="auto" w:sz="0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4978"/>
            </w:tblGrid>
            <w:tr w14:paraId="25365BFA">
              <w:tblPrEx>
                <w:tblBorders>
                  <w:top w:val="none" w:color="auto" w:sz="0" w:space="0"/>
                  <w:left w:val="none" w:color="auto" w:sz="0" w:space="0"/>
                  <w:bottom w:val="none" w:color="auto" w:sz="0" w:space="0"/>
                  <w:right w:val="none" w:color="auto" w:sz="0" w:space="0"/>
                  <w:insideH w:val="none" w:color="auto" w:sz="0" w:space="0"/>
                  <w:insideV w:val="none" w:color="auto" w:sz="0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c>
                <w:tcPr>
                  <w:tcW w:w="4978" w:type="dxa"/>
                </w:tcPr>
                <w:p w14:paraId="4D5E39FB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УЧАСТНИК ДОЛЕВОГО СТРОИТЕЛЬСТВА:</w:t>
                  </w:r>
                </w:p>
                <w:p w14:paraId="32E32D99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50591123">
                  <w:pPr>
                    <w:spacing w:line="276" w:lineRule="auto"/>
                    <w:jc w:val="both"/>
                    <w:rPr>
                      <w:b/>
                      <w:sz w:val="22"/>
                      <w:szCs w:val="22"/>
                    </w:rPr>
                  </w:pPr>
                </w:p>
                <w:p w14:paraId="03F33B4B">
                  <w:pPr>
                    <w:pStyle w:val="53"/>
                    <w:widowControl/>
                    <w:ind w:right="0"/>
                    <w:jc w:val="both"/>
                    <w:rPr>
                      <w:b/>
                      <w:sz w:val="22"/>
                      <w:szCs w:val="22"/>
                    </w:rPr>
                  </w:pPr>
                </w:p>
              </w:tc>
            </w:tr>
          </w:tbl>
          <w:p w14:paraId="31735459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</w:t>
            </w:r>
          </w:p>
          <w:p w14:paraId="30779B99">
            <w:pPr>
              <w:jc w:val="both"/>
              <w:rPr>
                <w:b/>
                <w:sz w:val="22"/>
                <w:szCs w:val="22"/>
              </w:rPr>
            </w:pPr>
          </w:p>
        </w:tc>
      </w:tr>
    </w:tbl>
    <w:p w14:paraId="4271D349">
      <w:pPr>
        <w:pStyle w:val="21"/>
        <w:spacing w:line="276" w:lineRule="auto"/>
        <w:jc w:val="both"/>
        <w:rPr>
          <w:sz w:val="22"/>
          <w:szCs w:val="22"/>
        </w:rPr>
      </w:pPr>
    </w:p>
    <w:sectPr>
      <w:footerReference r:id="rId3" w:type="default"/>
      <w:pgSz w:w="11906" w:h="16838"/>
      <w:pgMar w:top="426" w:right="707" w:bottom="142" w:left="1134" w:header="708" w:footer="0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altName w:val="Arial Unicode M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  <w:font w:name="Sylfaen">
    <w:panose1 w:val="010A0502050306030303"/>
    <w:charset w:val="CC"/>
    <w:family w:val="roman"/>
    <w:pitch w:val="default"/>
    <w:sig w:usb0="04000687" w:usb1="00000000" w:usb2="00000000" w:usb3="00000000" w:csb0="2000009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7C65748">
    <w:pPr>
      <w:pStyle w:val="1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t>15</w:t>
    </w:r>
    <w:r>
      <w:fldChar w:fldCharType="end"/>
    </w:r>
  </w:p>
  <w:p w14:paraId="0F0F65E3">
    <w:pPr>
      <w:pStyle w:val="1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6982809"/>
    <w:multiLevelType w:val="multilevel"/>
    <w:tmpl w:val="06982809"/>
    <w:lvl w:ilvl="0" w:tentative="0">
      <w:start w:val="3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1">
    <w:nsid w:val="074F148A"/>
    <w:multiLevelType w:val="multilevel"/>
    <w:tmpl w:val="074F148A"/>
    <w:lvl w:ilvl="0" w:tentative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rFonts w:cs="Times New Roman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rFonts w:cs="Times New Roman"/>
      </w:r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rFonts w:cs="Times New Roman"/>
      </w:r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  <w:rPr>
        <w:rFonts w:cs="Times New Roman"/>
      </w:r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  <w:rPr>
        <w:rFonts w:cs="Times New Roman"/>
      </w:r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  <w:rPr>
        <w:rFonts w:cs="Times New Roman"/>
      </w:rPr>
    </w:lvl>
  </w:abstractNum>
  <w:abstractNum w:abstractNumId="2">
    <w:nsid w:val="11FE6729"/>
    <w:multiLevelType w:val="multilevel"/>
    <w:tmpl w:val="11FE6729"/>
    <w:lvl w:ilvl="0" w:tentative="0">
      <w:start w:val="11"/>
      <w:numFmt w:val="decimal"/>
      <w:lvlText w:val="%1"/>
      <w:lvlJc w:val="left"/>
      <w:pPr>
        <w:ind w:left="420" w:hanging="420"/>
      </w:pPr>
      <w:rPr>
        <w:rFonts w:hint="default" w:cs="Times New Roman"/>
      </w:rPr>
    </w:lvl>
    <w:lvl w:ilvl="1" w:tentative="0">
      <w:start w:val="1"/>
      <w:numFmt w:val="decimal"/>
      <w:lvlText w:val="%1.%2"/>
      <w:lvlJc w:val="left"/>
      <w:pPr>
        <w:ind w:left="1500" w:hanging="420"/>
      </w:pPr>
      <w:rPr>
        <w:rFonts w:hint="default" w:cs="Times New Roman"/>
      </w:rPr>
    </w:lvl>
    <w:lvl w:ilvl="2" w:tentative="0">
      <w:start w:val="1"/>
      <w:numFmt w:val="decimal"/>
      <w:lvlText w:val="%1.%2.%3"/>
      <w:lvlJc w:val="left"/>
      <w:pPr>
        <w:ind w:left="2880" w:hanging="720"/>
      </w:pPr>
      <w:rPr>
        <w:rFonts w:hint="default" w:cs="Times New Roman"/>
      </w:rPr>
    </w:lvl>
    <w:lvl w:ilvl="3" w:tentative="0">
      <w:start w:val="1"/>
      <w:numFmt w:val="decimal"/>
      <w:lvlText w:val="%1.%2.%3.%4"/>
      <w:lvlJc w:val="left"/>
      <w:pPr>
        <w:ind w:left="3960" w:hanging="720"/>
      </w:pPr>
      <w:rPr>
        <w:rFonts w:hint="default" w:cs="Times New Roman"/>
      </w:rPr>
    </w:lvl>
    <w:lvl w:ilvl="4" w:tentative="0">
      <w:start w:val="1"/>
      <w:numFmt w:val="decimal"/>
      <w:lvlText w:val="%1.%2.%3.%4.%5"/>
      <w:lvlJc w:val="left"/>
      <w:pPr>
        <w:ind w:left="5040" w:hanging="720"/>
      </w:pPr>
      <w:rPr>
        <w:rFonts w:hint="default" w:cs="Times New Roman"/>
      </w:rPr>
    </w:lvl>
    <w:lvl w:ilvl="5" w:tentative="0">
      <w:start w:val="1"/>
      <w:numFmt w:val="decimal"/>
      <w:lvlText w:val="%1.%2.%3.%4.%5.%6"/>
      <w:lvlJc w:val="left"/>
      <w:pPr>
        <w:ind w:left="6480" w:hanging="1080"/>
      </w:pPr>
      <w:rPr>
        <w:rFonts w:hint="default" w:cs="Times New Roman"/>
      </w:rPr>
    </w:lvl>
    <w:lvl w:ilvl="6" w:tentative="0">
      <w:start w:val="1"/>
      <w:numFmt w:val="decimal"/>
      <w:lvlText w:val="%1.%2.%3.%4.%5.%6.%7"/>
      <w:lvlJc w:val="left"/>
      <w:pPr>
        <w:ind w:left="7560" w:hanging="1080"/>
      </w:pPr>
      <w:rPr>
        <w:rFonts w:hint="default" w:cs="Times New Roman"/>
      </w:rPr>
    </w:lvl>
    <w:lvl w:ilvl="7" w:tentative="0">
      <w:start w:val="1"/>
      <w:numFmt w:val="decimal"/>
      <w:lvlText w:val="%1.%2.%3.%4.%5.%6.%7.%8"/>
      <w:lvlJc w:val="left"/>
      <w:pPr>
        <w:ind w:left="9000" w:hanging="1440"/>
      </w:pPr>
      <w:rPr>
        <w:rFonts w:hint="default" w:cs="Times New Roman"/>
      </w:rPr>
    </w:lvl>
    <w:lvl w:ilvl="8" w:tentative="0">
      <w:start w:val="1"/>
      <w:numFmt w:val="decimal"/>
      <w:lvlText w:val="%1.%2.%3.%4.%5.%6.%7.%8.%9"/>
      <w:lvlJc w:val="left"/>
      <w:pPr>
        <w:ind w:left="10080" w:hanging="1440"/>
      </w:pPr>
      <w:rPr>
        <w:rFonts w:hint="default" w:cs="Times New Roman"/>
      </w:rPr>
    </w:lvl>
  </w:abstractNum>
  <w:abstractNum w:abstractNumId="3">
    <w:nsid w:val="2F620A5C"/>
    <w:multiLevelType w:val="multilevel"/>
    <w:tmpl w:val="2F620A5C"/>
    <w:lvl w:ilvl="0" w:tentative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0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 w:tentative="0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 w:tentative="0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 w:tentative="0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 w:tentative="0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 w:tentative="0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 w:tentative="0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 w:tentative="0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>
    <w:nsid w:val="44703E34"/>
    <w:multiLevelType w:val="multilevel"/>
    <w:tmpl w:val="44703E34"/>
    <w:lvl w:ilvl="0" w:tentative="0">
      <w:start w:val="11"/>
      <w:numFmt w:val="decimal"/>
      <w:lvlText w:val="%1"/>
      <w:lvlJc w:val="left"/>
      <w:pPr>
        <w:ind w:left="420" w:hanging="420"/>
      </w:pPr>
      <w:rPr>
        <w:rFonts w:hint="default" w:cs="Times New Roman"/>
      </w:rPr>
    </w:lvl>
    <w:lvl w:ilvl="1" w:tentative="0">
      <w:start w:val="4"/>
      <w:numFmt w:val="decimal"/>
      <w:lvlText w:val="%1.%2"/>
      <w:lvlJc w:val="left"/>
      <w:pPr>
        <w:ind w:left="1500" w:hanging="420"/>
      </w:pPr>
      <w:rPr>
        <w:rFonts w:hint="default" w:cs="Times New Roman"/>
      </w:rPr>
    </w:lvl>
    <w:lvl w:ilvl="2" w:tentative="0">
      <w:start w:val="1"/>
      <w:numFmt w:val="decimal"/>
      <w:lvlText w:val="%1.%2.%3"/>
      <w:lvlJc w:val="left"/>
      <w:pPr>
        <w:ind w:left="2880" w:hanging="720"/>
      </w:pPr>
      <w:rPr>
        <w:rFonts w:hint="default" w:cs="Times New Roman"/>
      </w:rPr>
    </w:lvl>
    <w:lvl w:ilvl="3" w:tentative="0">
      <w:start w:val="1"/>
      <w:numFmt w:val="decimal"/>
      <w:lvlText w:val="%1.%2.%3.%4"/>
      <w:lvlJc w:val="left"/>
      <w:pPr>
        <w:ind w:left="3960" w:hanging="720"/>
      </w:pPr>
      <w:rPr>
        <w:rFonts w:hint="default" w:cs="Times New Roman"/>
      </w:rPr>
    </w:lvl>
    <w:lvl w:ilvl="4" w:tentative="0">
      <w:start w:val="1"/>
      <w:numFmt w:val="decimal"/>
      <w:lvlText w:val="%1.%2.%3.%4.%5"/>
      <w:lvlJc w:val="left"/>
      <w:pPr>
        <w:ind w:left="5040" w:hanging="720"/>
      </w:pPr>
      <w:rPr>
        <w:rFonts w:hint="default" w:cs="Times New Roman"/>
      </w:rPr>
    </w:lvl>
    <w:lvl w:ilvl="5" w:tentative="0">
      <w:start w:val="1"/>
      <w:numFmt w:val="decimal"/>
      <w:lvlText w:val="%1.%2.%3.%4.%5.%6"/>
      <w:lvlJc w:val="left"/>
      <w:pPr>
        <w:ind w:left="6480" w:hanging="1080"/>
      </w:pPr>
      <w:rPr>
        <w:rFonts w:hint="default" w:cs="Times New Roman"/>
      </w:rPr>
    </w:lvl>
    <w:lvl w:ilvl="6" w:tentative="0">
      <w:start w:val="1"/>
      <w:numFmt w:val="decimal"/>
      <w:lvlText w:val="%1.%2.%3.%4.%5.%6.%7"/>
      <w:lvlJc w:val="left"/>
      <w:pPr>
        <w:ind w:left="7560" w:hanging="1080"/>
      </w:pPr>
      <w:rPr>
        <w:rFonts w:hint="default" w:cs="Times New Roman"/>
      </w:rPr>
    </w:lvl>
    <w:lvl w:ilvl="7" w:tentative="0">
      <w:start w:val="1"/>
      <w:numFmt w:val="decimal"/>
      <w:lvlText w:val="%1.%2.%3.%4.%5.%6.%7.%8"/>
      <w:lvlJc w:val="left"/>
      <w:pPr>
        <w:ind w:left="9000" w:hanging="1440"/>
      </w:pPr>
      <w:rPr>
        <w:rFonts w:hint="default" w:cs="Times New Roman"/>
      </w:rPr>
    </w:lvl>
    <w:lvl w:ilvl="8" w:tentative="0">
      <w:start w:val="1"/>
      <w:numFmt w:val="decimal"/>
      <w:lvlText w:val="%1.%2.%3.%4.%5.%6.%7.%8.%9"/>
      <w:lvlJc w:val="left"/>
      <w:pPr>
        <w:ind w:left="10080" w:hanging="1440"/>
      </w:pPr>
      <w:rPr>
        <w:rFonts w:hint="default" w:cs="Times New Roman"/>
      </w:rPr>
    </w:lvl>
  </w:abstractNum>
  <w:abstractNum w:abstractNumId="5">
    <w:nsid w:val="5ABC16F6"/>
    <w:multiLevelType w:val="multilevel"/>
    <w:tmpl w:val="5ABC16F6"/>
    <w:lvl w:ilvl="0" w:tentative="0">
      <w:start w:val="1"/>
      <w:numFmt w:val="decimal"/>
      <w:lvlText w:val="%1."/>
      <w:lvlJc w:val="left"/>
      <w:pPr>
        <w:ind w:left="360" w:hanging="360"/>
      </w:pPr>
      <w:rPr>
        <w:rFonts w:hint="default" w:cs="Times New Roman"/>
        <w:color w:val="auto"/>
      </w:rPr>
    </w:lvl>
    <w:lvl w:ilvl="1" w:tentative="0">
      <w:start w:val="5"/>
      <w:numFmt w:val="decimal"/>
      <w:lvlText w:val="%1.%2."/>
      <w:lvlJc w:val="left"/>
      <w:pPr>
        <w:ind w:left="927" w:hanging="360"/>
      </w:pPr>
      <w:rPr>
        <w:rFonts w:hint="default" w:cs="Times New Roman"/>
        <w:color w:val="auto"/>
      </w:rPr>
    </w:lvl>
    <w:lvl w:ilvl="2" w:tentative="0">
      <w:start w:val="1"/>
      <w:numFmt w:val="decimal"/>
      <w:lvlText w:val="%1.%2.%3."/>
      <w:lvlJc w:val="left"/>
      <w:pPr>
        <w:ind w:left="1854" w:hanging="720"/>
      </w:pPr>
      <w:rPr>
        <w:rFonts w:hint="default" w:cs="Times New Roman"/>
        <w:color w:val="auto"/>
      </w:rPr>
    </w:lvl>
    <w:lvl w:ilvl="3" w:tentative="0">
      <w:start w:val="1"/>
      <w:numFmt w:val="decimal"/>
      <w:lvlText w:val="%1.%2.%3.%4."/>
      <w:lvlJc w:val="left"/>
      <w:pPr>
        <w:ind w:left="2421" w:hanging="720"/>
      </w:pPr>
      <w:rPr>
        <w:rFonts w:hint="default" w:cs="Times New Roman"/>
        <w:color w:val="auto"/>
      </w:rPr>
    </w:lvl>
    <w:lvl w:ilvl="4" w:tentative="0">
      <w:start w:val="1"/>
      <w:numFmt w:val="decimal"/>
      <w:lvlText w:val="%1.%2.%3.%4.%5."/>
      <w:lvlJc w:val="left"/>
      <w:pPr>
        <w:ind w:left="3348" w:hanging="1080"/>
      </w:pPr>
      <w:rPr>
        <w:rFonts w:hint="default" w:cs="Times New Roman"/>
        <w:color w:val="auto"/>
      </w:rPr>
    </w:lvl>
    <w:lvl w:ilvl="5" w:tentative="0">
      <w:start w:val="1"/>
      <w:numFmt w:val="decimal"/>
      <w:lvlText w:val="%1.%2.%3.%4.%5.%6."/>
      <w:lvlJc w:val="left"/>
      <w:pPr>
        <w:ind w:left="3915" w:hanging="1080"/>
      </w:pPr>
      <w:rPr>
        <w:rFonts w:hint="default" w:cs="Times New Roman"/>
        <w:color w:val="auto"/>
      </w:rPr>
    </w:lvl>
    <w:lvl w:ilvl="6" w:tentative="0">
      <w:start w:val="1"/>
      <w:numFmt w:val="decimal"/>
      <w:lvlText w:val="%1.%2.%3.%4.%5.%6.%7."/>
      <w:lvlJc w:val="left"/>
      <w:pPr>
        <w:ind w:left="4842" w:hanging="1440"/>
      </w:pPr>
      <w:rPr>
        <w:rFonts w:hint="default" w:cs="Times New Roman"/>
        <w:color w:val="auto"/>
      </w:rPr>
    </w:lvl>
    <w:lvl w:ilvl="7" w:tentative="0">
      <w:start w:val="1"/>
      <w:numFmt w:val="decimal"/>
      <w:lvlText w:val="%1.%2.%3.%4.%5.%6.%7.%8."/>
      <w:lvlJc w:val="left"/>
      <w:pPr>
        <w:ind w:left="5409" w:hanging="1440"/>
      </w:pPr>
      <w:rPr>
        <w:rFonts w:hint="default" w:cs="Times New Roman"/>
        <w:color w:val="auto"/>
      </w:rPr>
    </w:lvl>
    <w:lvl w:ilvl="8" w:tentative="0">
      <w:start w:val="1"/>
      <w:numFmt w:val="decimal"/>
      <w:lvlText w:val="%1.%2.%3.%4.%5.%6.%7.%8.%9."/>
      <w:lvlJc w:val="left"/>
      <w:pPr>
        <w:ind w:left="6336" w:hanging="1800"/>
      </w:pPr>
      <w:rPr>
        <w:rFonts w:hint="default" w:cs="Times New Roman"/>
        <w:color w:val="auto"/>
      </w:rPr>
    </w:lvl>
  </w:abstractNum>
  <w:abstractNum w:abstractNumId="6">
    <w:nsid w:val="675A357D"/>
    <w:multiLevelType w:val="multilevel"/>
    <w:tmpl w:val="675A357D"/>
    <w:lvl w:ilvl="0" w:tentative="0">
      <w:start w:val="11"/>
      <w:numFmt w:val="decimal"/>
      <w:lvlText w:val="%1."/>
      <w:lvlJc w:val="left"/>
      <w:pPr>
        <w:ind w:left="480" w:hanging="480"/>
      </w:pPr>
      <w:rPr>
        <w:rFonts w:hint="default" w:cs="Times New Roman"/>
      </w:rPr>
    </w:lvl>
    <w:lvl w:ilvl="1" w:tentative="0">
      <w:start w:val="2"/>
      <w:numFmt w:val="decimal"/>
      <w:lvlText w:val="%1.%2."/>
      <w:lvlJc w:val="left"/>
      <w:pPr>
        <w:ind w:left="1560" w:hanging="480"/>
      </w:pPr>
      <w:rPr>
        <w:rFonts w:hint="default" w:cs="Times New Roman"/>
      </w:rPr>
    </w:lvl>
    <w:lvl w:ilvl="2" w:tentative="0">
      <w:start w:val="1"/>
      <w:numFmt w:val="decimal"/>
      <w:lvlText w:val="%1.%2.%3."/>
      <w:lvlJc w:val="left"/>
      <w:pPr>
        <w:ind w:left="2880" w:hanging="720"/>
      </w:pPr>
      <w:rPr>
        <w:rFonts w:hint="default" w:cs="Times New Roman"/>
      </w:rPr>
    </w:lvl>
    <w:lvl w:ilvl="3" w:tentative="0">
      <w:start w:val="1"/>
      <w:numFmt w:val="decimal"/>
      <w:lvlText w:val="%1.%2.%3.%4."/>
      <w:lvlJc w:val="left"/>
      <w:pPr>
        <w:ind w:left="3960" w:hanging="720"/>
      </w:pPr>
      <w:rPr>
        <w:rFonts w:hint="default" w:cs="Times New Roman"/>
      </w:rPr>
    </w:lvl>
    <w:lvl w:ilvl="4" w:tentative="0">
      <w:start w:val="1"/>
      <w:numFmt w:val="decimal"/>
      <w:lvlText w:val="%1.%2.%3.%4.%5."/>
      <w:lvlJc w:val="left"/>
      <w:pPr>
        <w:ind w:left="5400" w:hanging="1080"/>
      </w:pPr>
      <w:rPr>
        <w:rFonts w:hint="default" w:cs="Times New Roman"/>
      </w:rPr>
    </w:lvl>
    <w:lvl w:ilvl="5" w:tentative="0">
      <w:start w:val="1"/>
      <w:numFmt w:val="decimal"/>
      <w:lvlText w:val="%1.%2.%3.%4.%5.%6."/>
      <w:lvlJc w:val="left"/>
      <w:pPr>
        <w:ind w:left="6480" w:hanging="1080"/>
      </w:pPr>
      <w:rPr>
        <w:rFonts w:hint="default" w:cs="Times New Roman"/>
      </w:rPr>
    </w:lvl>
    <w:lvl w:ilvl="6" w:tentative="0">
      <w:start w:val="1"/>
      <w:numFmt w:val="decimal"/>
      <w:lvlText w:val="%1.%2.%3.%4.%5.%6.%7."/>
      <w:lvlJc w:val="left"/>
      <w:pPr>
        <w:ind w:left="7560" w:hanging="1080"/>
      </w:pPr>
      <w:rPr>
        <w:rFonts w:hint="default" w:cs="Times New Roman"/>
      </w:rPr>
    </w:lvl>
    <w:lvl w:ilvl="7" w:tentative="0">
      <w:start w:val="1"/>
      <w:numFmt w:val="decimal"/>
      <w:lvlText w:val="%1.%2.%3.%4.%5.%6.%7.%8."/>
      <w:lvlJc w:val="left"/>
      <w:pPr>
        <w:ind w:left="9000" w:hanging="1440"/>
      </w:pPr>
      <w:rPr>
        <w:rFonts w:hint="default" w:cs="Times New Roman"/>
      </w:rPr>
    </w:lvl>
    <w:lvl w:ilvl="8" w:tentative="0">
      <w:start w:val="1"/>
      <w:numFmt w:val="decimal"/>
      <w:lvlText w:val="%1.%2.%3.%4.%5.%6.%7.%8.%9."/>
      <w:lvlJc w:val="left"/>
      <w:pPr>
        <w:ind w:left="10080" w:hanging="1440"/>
      </w:pPr>
      <w:rPr>
        <w:rFonts w:hint="default" w:cs="Times New Roman"/>
      </w:rPr>
    </w:lvl>
  </w:abstractNum>
  <w:abstractNum w:abstractNumId="7">
    <w:nsid w:val="77DE5094"/>
    <w:multiLevelType w:val="multilevel"/>
    <w:tmpl w:val="77DE5094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 w:cs="Times New Roman"/>
      </w:rPr>
    </w:lvl>
    <w:lvl w:ilvl="1" w:tentative="0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entative="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cumentProtection w:enforcement="0"/>
  <w:defaultTabStop w:val="708"/>
  <w:characterSpacingControl w:val="doNotCompress"/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218C"/>
    <w:rsid w:val="00003DA1"/>
    <w:rsid w:val="00005268"/>
    <w:rsid w:val="00014F04"/>
    <w:rsid w:val="00016436"/>
    <w:rsid w:val="0002146C"/>
    <w:rsid w:val="000215D7"/>
    <w:rsid w:val="00022983"/>
    <w:rsid w:val="0002498B"/>
    <w:rsid w:val="00030885"/>
    <w:rsid w:val="0003193C"/>
    <w:rsid w:val="00031FA7"/>
    <w:rsid w:val="0003588F"/>
    <w:rsid w:val="000405D1"/>
    <w:rsid w:val="00040D54"/>
    <w:rsid w:val="0004287C"/>
    <w:rsid w:val="0004591F"/>
    <w:rsid w:val="00045BFF"/>
    <w:rsid w:val="00046F67"/>
    <w:rsid w:val="00052272"/>
    <w:rsid w:val="00071725"/>
    <w:rsid w:val="00072B59"/>
    <w:rsid w:val="000808D6"/>
    <w:rsid w:val="000865E9"/>
    <w:rsid w:val="0009056E"/>
    <w:rsid w:val="00094478"/>
    <w:rsid w:val="000A01B8"/>
    <w:rsid w:val="000A2BF7"/>
    <w:rsid w:val="000A3644"/>
    <w:rsid w:val="000A3858"/>
    <w:rsid w:val="000B1C29"/>
    <w:rsid w:val="000C4EFA"/>
    <w:rsid w:val="000C60A9"/>
    <w:rsid w:val="000D00E4"/>
    <w:rsid w:val="000D2250"/>
    <w:rsid w:val="000D22EB"/>
    <w:rsid w:val="000D3BC6"/>
    <w:rsid w:val="000D562D"/>
    <w:rsid w:val="000D5F5D"/>
    <w:rsid w:val="000D5FDF"/>
    <w:rsid w:val="000D76DB"/>
    <w:rsid w:val="000E01CA"/>
    <w:rsid w:val="000E02B1"/>
    <w:rsid w:val="000E0C46"/>
    <w:rsid w:val="000E178D"/>
    <w:rsid w:val="000E1BAE"/>
    <w:rsid w:val="000E731B"/>
    <w:rsid w:val="000E7A3C"/>
    <w:rsid w:val="000F1757"/>
    <w:rsid w:val="000F1F3D"/>
    <w:rsid w:val="000F62ED"/>
    <w:rsid w:val="00104496"/>
    <w:rsid w:val="00105417"/>
    <w:rsid w:val="00105CE7"/>
    <w:rsid w:val="00106DC8"/>
    <w:rsid w:val="00106E4C"/>
    <w:rsid w:val="00107250"/>
    <w:rsid w:val="001146B0"/>
    <w:rsid w:val="001146D8"/>
    <w:rsid w:val="00116D36"/>
    <w:rsid w:val="00120C8E"/>
    <w:rsid w:val="00121C79"/>
    <w:rsid w:val="0012307E"/>
    <w:rsid w:val="0013076C"/>
    <w:rsid w:val="0013688E"/>
    <w:rsid w:val="00140C16"/>
    <w:rsid w:val="001419B3"/>
    <w:rsid w:val="00141F9B"/>
    <w:rsid w:val="00142E70"/>
    <w:rsid w:val="00143D66"/>
    <w:rsid w:val="00143FB6"/>
    <w:rsid w:val="00150C93"/>
    <w:rsid w:val="001543D5"/>
    <w:rsid w:val="0015763A"/>
    <w:rsid w:val="0016405E"/>
    <w:rsid w:val="00167876"/>
    <w:rsid w:val="001718D6"/>
    <w:rsid w:val="00176212"/>
    <w:rsid w:val="0018129F"/>
    <w:rsid w:val="001822F9"/>
    <w:rsid w:val="0018312F"/>
    <w:rsid w:val="001932CE"/>
    <w:rsid w:val="00195B0A"/>
    <w:rsid w:val="00195B79"/>
    <w:rsid w:val="00196537"/>
    <w:rsid w:val="001A08FB"/>
    <w:rsid w:val="001A10F2"/>
    <w:rsid w:val="001A15EB"/>
    <w:rsid w:val="001A2A6D"/>
    <w:rsid w:val="001A4553"/>
    <w:rsid w:val="001A45D2"/>
    <w:rsid w:val="001A56FF"/>
    <w:rsid w:val="001A64BA"/>
    <w:rsid w:val="001A7864"/>
    <w:rsid w:val="001A788C"/>
    <w:rsid w:val="001B14D9"/>
    <w:rsid w:val="001B2A8B"/>
    <w:rsid w:val="001B2B6A"/>
    <w:rsid w:val="001B5ED2"/>
    <w:rsid w:val="001B6AD9"/>
    <w:rsid w:val="001C2A72"/>
    <w:rsid w:val="001C5A24"/>
    <w:rsid w:val="001C669D"/>
    <w:rsid w:val="001C6ABB"/>
    <w:rsid w:val="001D0A0A"/>
    <w:rsid w:val="001D135A"/>
    <w:rsid w:val="001D4830"/>
    <w:rsid w:val="001D5431"/>
    <w:rsid w:val="001E2AED"/>
    <w:rsid w:val="001E333B"/>
    <w:rsid w:val="001E3640"/>
    <w:rsid w:val="001E5C0F"/>
    <w:rsid w:val="001F5C0E"/>
    <w:rsid w:val="001F5CE0"/>
    <w:rsid w:val="002016AB"/>
    <w:rsid w:val="00202395"/>
    <w:rsid w:val="00202C4A"/>
    <w:rsid w:val="00212F25"/>
    <w:rsid w:val="00215052"/>
    <w:rsid w:val="00216CBE"/>
    <w:rsid w:val="00216E9F"/>
    <w:rsid w:val="00225B33"/>
    <w:rsid w:val="00226443"/>
    <w:rsid w:val="00230526"/>
    <w:rsid w:val="00241F86"/>
    <w:rsid w:val="002447A3"/>
    <w:rsid w:val="00247E17"/>
    <w:rsid w:val="002546D5"/>
    <w:rsid w:val="002571FE"/>
    <w:rsid w:val="00257207"/>
    <w:rsid w:val="002641B2"/>
    <w:rsid w:val="00266E94"/>
    <w:rsid w:val="00271F78"/>
    <w:rsid w:val="00274CDE"/>
    <w:rsid w:val="00287AAF"/>
    <w:rsid w:val="00290144"/>
    <w:rsid w:val="0029093D"/>
    <w:rsid w:val="00290CB7"/>
    <w:rsid w:val="002A0117"/>
    <w:rsid w:val="002A1AD2"/>
    <w:rsid w:val="002A23D9"/>
    <w:rsid w:val="002A4C9A"/>
    <w:rsid w:val="002B1DA1"/>
    <w:rsid w:val="002C06F9"/>
    <w:rsid w:val="002C2D8C"/>
    <w:rsid w:val="002D01CB"/>
    <w:rsid w:val="002D039B"/>
    <w:rsid w:val="002D5793"/>
    <w:rsid w:val="002D7024"/>
    <w:rsid w:val="002D718B"/>
    <w:rsid w:val="002D7D9C"/>
    <w:rsid w:val="002E011B"/>
    <w:rsid w:val="002E02EF"/>
    <w:rsid w:val="002E163A"/>
    <w:rsid w:val="002E307E"/>
    <w:rsid w:val="002E3D18"/>
    <w:rsid w:val="002E41FA"/>
    <w:rsid w:val="002F0538"/>
    <w:rsid w:val="002F7152"/>
    <w:rsid w:val="0030226B"/>
    <w:rsid w:val="00314A8F"/>
    <w:rsid w:val="00314B8E"/>
    <w:rsid w:val="00316179"/>
    <w:rsid w:val="003220AA"/>
    <w:rsid w:val="0032389D"/>
    <w:rsid w:val="003244D7"/>
    <w:rsid w:val="003262AC"/>
    <w:rsid w:val="003300E3"/>
    <w:rsid w:val="00333FE5"/>
    <w:rsid w:val="003406C3"/>
    <w:rsid w:val="00343F8A"/>
    <w:rsid w:val="003449D1"/>
    <w:rsid w:val="003455DE"/>
    <w:rsid w:val="003478C2"/>
    <w:rsid w:val="00351B76"/>
    <w:rsid w:val="0035573E"/>
    <w:rsid w:val="003578E8"/>
    <w:rsid w:val="00357F31"/>
    <w:rsid w:val="0036155B"/>
    <w:rsid w:val="00362F9F"/>
    <w:rsid w:val="00365159"/>
    <w:rsid w:val="0037160F"/>
    <w:rsid w:val="00372126"/>
    <w:rsid w:val="003746E9"/>
    <w:rsid w:val="003761EF"/>
    <w:rsid w:val="00387589"/>
    <w:rsid w:val="00390506"/>
    <w:rsid w:val="00393F59"/>
    <w:rsid w:val="0039540B"/>
    <w:rsid w:val="003A2D35"/>
    <w:rsid w:val="003B60B5"/>
    <w:rsid w:val="003B6757"/>
    <w:rsid w:val="003B6798"/>
    <w:rsid w:val="003C13B0"/>
    <w:rsid w:val="003C2751"/>
    <w:rsid w:val="003C3562"/>
    <w:rsid w:val="003D0DEF"/>
    <w:rsid w:val="003D218C"/>
    <w:rsid w:val="003D4E54"/>
    <w:rsid w:val="003E1F5B"/>
    <w:rsid w:val="003E3838"/>
    <w:rsid w:val="003E467F"/>
    <w:rsid w:val="003F0AFB"/>
    <w:rsid w:val="003F76FC"/>
    <w:rsid w:val="00410A74"/>
    <w:rsid w:val="00416574"/>
    <w:rsid w:val="00417896"/>
    <w:rsid w:val="004222A2"/>
    <w:rsid w:val="00423698"/>
    <w:rsid w:val="00424141"/>
    <w:rsid w:val="00425A53"/>
    <w:rsid w:val="00427ECF"/>
    <w:rsid w:val="0043002C"/>
    <w:rsid w:val="004303DC"/>
    <w:rsid w:val="0043145F"/>
    <w:rsid w:val="004316D4"/>
    <w:rsid w:val="00431FB6"/>
    <w:rsid w:val="00443C04"/>
    <w:rsid w:val="00445145"/>
    <w:rsid w:val="00452636"/>
    <w:rsid w:val="004572A5"/>
    <w:rsid w:val="004576AA"/>
    <w:rsid w:val="00462775"/>
    <w:rsid w:val="00462FB4"/>
    <w:rsid w:val="00463C32"/>
    <w:rsid w:val="00464CB0"/>
    <w:rsid w:val="004660BE"/>
    <w:rsid w:val="004739CF"/>
    <w:rsid w:val="00475BA6"/>
    <w:rsid w:val="0048116A"/>
    <w:rsid w:val="004836C4"/>
    <w:rsid w:val="00490F19"/>
    <w:rsid w:val="00491F8C"/>
    <w:rsid w:val="00497AC1"/>
    <w:rsid w:val="004A0614"/>
    <w:rsid w:val="004A235E"/>
    <w:rsid w:val="004A36C8"/>
    <w:rsid w:val="004B0AA8"/>
    <w:rsid w:val="004B242C"/>
    <w:rsid w:val="004C1CED"/>
    <w:rsid w:val="004C52CF"/>
    <w:rsid w:val="004C67C3"/>
    <w:rsid w:val="004D3040"/>
    <w:rsid w:val="004D695F"/>
    <w:rsid w:val="004E21EC"/>
    <w:rsid w:val="004E2C65"/>
    <w:rsid w:val="004E69BD"/>
    <w:rsid w:val="004F0AA7"/>
    <w:rsid w:val="004F3EDC"/>
    <w:rsid w:val="00501840"/>
    <w:rsid w:val="005112C7"/>
    <w:rsid w:val="0051531E"/>
    <w:rsid w:val="00517B89"/>
    <w:rsid w:val="005220AE"/>
    <w:rsid w:val="00522631"/>
    <w:rsid w:val="005262AA"/>
    <w:rsid w:val="00526F19"/>
    <w:rsid w:val="00530844"/>
    <w:rsid w:val="00531206"/>
    <w:rsid w:val="00533132"/>
    <w:rsid w:val="00534392"/>
    <w:rsid w:val="00535FAF"/>
    <w:rsid w:val="005528DF"/>
    <w:rsid w:val="005559FF"/>
    <w:rsid w:val="0055607E"/>
    <w:rsid w:val="00560556"/>
    <w:rsid w:val="00562441"/>
    <w:rsid w:val="00562BD9"/>
    <w:rsid w:val="00563A33"/>
    <w:rsid w:val="00563F8F"/>
    <w:rsid w:val="00571D98"/>
    <w:rsid w:val="00575140"/>
    <w:rsid w:val="00585DC2"/>
    <w:rsid w:val="00587FF3"/>
    <w:rsid w:val="00591304"/>
    <w:rsid w:val="00597AC7"/>
    <w:rsid w:val="005A0BA3"/>
    <w:rsid w:val="005A604A"/>
    <w:rsid w:val="005A6F51"/>
    <w:rsid w:val="005A76A0"/>
    <w:rsid w:val="005A76EC"/>
    <w:rsid w:val="005C1B91"/>
    <w:rsid w:val="005C3ACD"/>
    <w:rsid w:val="005C6A48"/>
    <w:rsid w:val="005D226B"/>
    <w:rsid w:val="005D5F7F"/>
    <w:rsid w:val="005E516D"/>
    <w:rsid w:val="005E7710"/>
    <w:rsid w:val="005F1CDD"/>
    <w:rsid w:val="005F2FEC"/>
    <w:rsid w:val="005F7F97"/>
    <w:rsid w:val="00601946"/>
    <w:rsid w:val="006058F2"/>
    <w:rsid w:val="00613581"/>
    <w:rsid w:val="00613640"/>
    <w:rsid w:val="006207C9"/>
    <w:rsid w:val="00624F11"/>
    <w:rsid w:val="00627982"/>
    <w:rsid w:val="00627A12"/>
    <w:rsid w:val="006332BA"/>
    <w:rsid w:val="00644CA6"/>
    <w:rsid w:val="00646942"/>
    <w:rsid w:val="0065536C"/>
    <w:rsid w:val="006578D5"/>
    <w:rsid w:val="0066144B"/>
    <w:rsid w:val="00682922"/>
    <w:rsid w:val="00686BD1"/>
    <w:rsid w:val="0069231B"/>
    <w:rsid w:val="006928F2"/>
    <w:rsid w:val="00693C79"/>
    <w:rsid w:val="00697665"/>
    <w:rsid w:val="006977B0"/>
    <w:rsid w:val="006A0524"/>
    <w:rsid w:val="006A2458"/>
    <w:rsid w:val="006A33D3"/>
    <w:rsid w:val="006A7568"/>
    <w:rsid w:val="006B21DC"/>
    <w:rsid w:val="006B2A1F"/>
    <w:rsid w:val="006B4943"/>
    <w:rsid w:val="006B6DB5"/>
    <w:rsid w:val="006B6EC1"/>
    <w:rsid w:val="006C107A"/>
    <w:rsid w:val="006C7DEB"/>
    <w:rsid w:val="006E41D0"/>
    <w:rsid w:val="006E66D5"/>
    <w:rsid w:val="006F3A7B"/>
    <w:rsid w:val="006F5678"/>
    <w:rsid w:val="006F7139"/>
    <w:rsid w:val="00700B01"/>
    <w:rsid w:val="00700EDA"/>
    <w:rsid w:val="007018E3"/>
    <w:rsid w:val="00703129"/>
    <w:rsid w:val="00711834"/>
    <w:rsid w:val="007159E7"/>
    <w:rsid w:val="00716A9C"/>
    <w:rsid w:val="007211B0"/>
    <w:rsid w:val="00722CDC"/>
    <w:rsid w:val="007231B9"/>
    <w:rsid w:val="00723D69"/>
    <w:rsid w:val="00723DE5"/>
    <w:rsid w:val="00731B63"/>
    <w:rsid w:val="0073348D"/>
    <w:rsid w:val="00733780"/>
    <w:rsid w:val="00736F2B"/>
    <w:rsid w:val="00741187"/>
    <w:rsid w:val="00742A88"/>
    <w:rsid w:val="00752A8C"/>
    <w:rsid w:val="00755AB8"/>
    <w:rsid w:val="0075781A"/>
    <w:rsid w:val="00761EC6"/>
    <w:rsid w:val="00765A80"/>
    <w:rsid w:val="00766B28"/>
    <w:rsid w:val="0076716E"/>
    <w:rsid w:val="007677DB"/>
    <w:rsid w:val="00767C01"/>
    <w:rsid w:val="0077189D"/>
    <w:rsid w:val="0077219D"/>
    <w:rsid w:val="007765DB"/>
    <w:rsid w:val="00777D8F"/>
    <w:rsid w:val="0078086D"/>
    <w:rsid w:val="00786065"/>
    <w:rsid w:val="00787130"/>
    <w:rsid w:val="00787FAF"/>
    <w:rsid w:val="00792E43"/>
    <w:rsid w:val="007949AB"/>
    <w:rsid w:val="007966C3"/>
    <w:rsid w:val="007A0376"/>
    <w:rsid w:val="007A583E"/>
    <w:rsid w:val="007A76A5"/>
    <w:rsid w:val="007B2BA1"/>
    <w:rsid w:val="007C0AAA"/>
    <w:rsid w:val="007C2701"/>
    <w:rsid w:val="007C43C4"/>
    <w:rsid w:val="007C4584"/>
    <w:rsid w:val="007D1FB1"/>
    <w:rsid w:val="007D2D71"/>
    <w:rsid w:val="007E0D77"/>
    <w:rsid w:val="007E1975"/>
    <w:rsid w:val="007E3708"/>
    <w:rsid w:val="007E55ED"/>
    <w:rsid w:val="007F1E91"/>
    <w:rsid w:val="007F564B"/>
    <w:rsid w:val="008008AC"/>
    <w:rsid w:val="00800BF6"/>
    <w:rsid w:val="00804390"/>
    <w:rsid w:val="00806D8A"/>
    <w:rsid w:val="008105F0"/>
    <w:rsid w:val="00810B5D"/>
    <w:rsid w:val="00813DAB"/>
    <w:rsid w:val="00815C0F"/>
    <w:rsid w:val="008165EB"/>
    <w:rsid w:val="00820578"/>
    <w:rsid w:val="00821B58"/>
    <w:rsid w:val="00823E87"/>
    <w:rsid w:val="00830CE0"/>
    <w:rsid w:val="00830D53"/>
    <w:rsid w:val="008414F3"/>
    <w:rsid w:val="00844C69"/>
    <w:rsid w:val="0085522B"/>
    <w:rsid w:val="00867682"/>
    <w:rsid w:val="0087114B"/>
    <w:rsid w:val="008718AC"/>
    <w:rsid w:val="00883284"/>
    <w:rsid w:val="00884A34"/>
    <w:rsid w:val="0088585A"/>
    <w:rsid w:val="00886C0A"/>
    <w:rsid w:val="0089400B"/>
    <w:rsid w:val="008A5BDF"/>
    <w:rsid w:val="008B3F85"/>
    <w:rsid w:val="008B4BB3"/>
    <w:rsid w:val="008B5AE2"/>
    <w:rsid w:val="008C125C"/>
    <w:rsid w:val="008C1706"/>
    <w:rsid w:val="008C61ED"/>
    <w:rsid w:val="008C782C"/>
    <w:rsid w:val="008D21B6"/>
    <w:rsid w:val="008F2747"/>
    <w:rsid w:val="008F491C"/>
    <w:rsid w:val="008F7060"/>
    <w:rsid w:val="008F7209"/>
    <w:rsid w:val="009003F2"/>
    <w:rsid w:val="009021B2"/>
    <w:rsid w:val="00905F7C"/>
    <w:rsid w:val="00906097"/>
    <w:rsid w:val="0090773B"/>
    <w:rsid w:val="00907E32"/>
    <w:rsid w:val="0091010C"/>
    <w:rsid w:val="00911E27"/>
    <w:rsid w:val="00913B14"/>
    <w:rsid w:val="00916124"/>
    <w:rsid w:val="00916BED"/>
    <w:rsid w:val="00917E9B"/>
    <w:rsid w:val="00923773"/>
    <w:rsid w:val="00925A15"/>
    <w:rsid w:val="0093034F"/>
    <w:rsid w:val="00932F99"/>
    <w:rsid w:val="00935569"/>
    <w:rsid w:val="0093567B"/>
    <w:rsid w:val="009419F1"/>
    <w:rsid w:val="00941C47"/>
    <w:rsid w:val="00942EA2"/>
    <w:rsid w:val="00943ACF"/>
    <w:rsid w:val="00952E2F"/>
    <w:rsid w:val="009569B4"/>
    <w:rsid w:val="00961631"/>
    <w:rsid w:val="00970AB0"/>
    <w:rsid w:val="0097336C"/>
    <w:rsid w:val="009752C5"/>
    <w:rsid w:val="00980A5C"/>
    <w:rsid w:val="00982F65"/>
    <w:rsid w:val="009841C6"/>
    <w:rsid w:val="00985687"/>
    <w:rsid w:val="009859C8"/>
    <w:rsid w:val="00985F03"/>
    <w:rsid w:val="00987EDA"/>
    <w:rsid w:val="009909F2"/>
    <w:rsid w:val="00997B61"/>
    <w:rsid w:val="009A172C"/>
    <w:rsid w:val="009A1E02"/>
    <w:rsid w:val="009A3559"/>
    <w:rsid w:val="009A5C3E"/>
    <w:rsid w:val="009A70B0"/>
    <w:rsid w:val="009B329D"/>
    <w:rsid w:val="009B3980"/>
    <w:rsid w:val="009B3CFE"/>
    <w:rsid w:val="009D2EDF"/>
    <w:rsid w:val="009D4949"/>
    <w:rsid w:val="009E0B9C"/>
    <w:rsid w:val="009E1AEE"/>
    <w:rsid w:val="009F5780"/>
    <w:rsid w:val="00A00392"/>
    <w:rsid w:val="00A040A9"/>
    <w:rsid w:val="00A07BC0"/>
    <w:rsid w:val="00A26EBF"/>
    <w:rsid w:val="00A329DA"/>
    <w:rsid w:val="00A34D68"/>
    <w:rsid w:val="00A4474B"/>
    <w:rsid w:val="00A4708D"/>
    <w:rsid w:val="00A476AA"/>
    <w:rsid w:val="00A478B8"/>
    <w:rsid w:val="00A53D99"/>
    <w:rsid w:val="00A54437"/>
    <w:rsid w:val="00A61F89"/>
    <w:rsid w:val="00A65047"/>
    <w:rsid w:val="00A737E6"/>
    <w:rsid w:val="00A768A0"/>
    <w:rsid w:val="00A76E52"/>
    <w:rsid w:val="00A8200F"/>
    <w:rsid w:val="00A860F1"/>
    <w:rsid w:val="00A90D09"/>
    <w:rsid w:val="00A963B4"/>
    <w:rsid w:val="00AB2A8D"/>
    <w:rsid w:val="00AB4005"/>
    <w:rsid w:val="00AC23BB"/>
    <w:rsid w:val="00AC5379"/>
    <w:rsid w:val="00AD2865"/>
    <w:rsid w:val="00AD5A5F"/>
    <w:rsid w:val="00AD77C9"/>
    <w:rsid w:val="00AE1203"/>
    <w:rsid w:val="00AE2547"/>
    <w:rsid w:val="00AE6AFC"/>
    <w:rsid w:val="00AF515A"/>
    <w:rsid w:val="00AF51E6"/>
    <w:rsid w:val="00AF605D"/>
    <w:rsid w:val="00AF6B41"/>
    <w:rsid w:val="00B005F5"/>
    <w:rsid w:val="00B0107C"/>
    <w:rsid w:val="00B05745"/>
    <w:rsid w:val="00B05BE0"/>
    <w:rsid w:val="00B129E2"/>
    <w:rsid w:val="00B12A5B"/>
    <w:rsid w:val="00B21743"/>
    <w:rsid w:val="00B24A91"/>
    <w:rsid w:val="00B27A3F"/>
    <w:rsid w:val="00B35A56"/>
    <w:rsid w:val="00B3694B"/>
    <w:rsid w:val="00B377BD"/>
    <w:rsid w:val="00B40A9F"/>
    <w:rsid w:val="00B40D69"/>
    <w:rsid w:val="00B45FB2"/>
    <w:rsid w:val="00B472CE"/>
    <w:rsid w:val="00B51035"/>
    <w:rsid w:val="00B53EF0"/>
    <w:rsid w:val="00B53F22"/>
    <w:rsid w:val="00B57F2E"/>
    <w:rsid w:val="00B6037F"/>
    <w:rsid w:val="00B61F9A"/>
    <w:rsid w:val="00B62C69"/>
    <w:rsid w:val="00B6580C"/>
    <w:rsid w:val="00B673AF"/>
    <w:rsid w:val="00B800D0"/>
    <w:rsid w:val="00B83022"/>
    <w:rsid w:val="00B84EFA"/>
    <w:rsid w:val="00B874E4"/>
    <w:rsid w:val="00B914DD"/>
    <w:rsid w:val="00B925C9"/>
    <w:rsid w:val="00B97311"/>
    <w:rsid w:val="00B97668"/>
    <w:rsid w:val="00BA250A"/>
    <w:rsid w:val="00BA5769"/>
    <w:rsid w:val="00BB3AE2"/>
    <w:rsid w:val="00BC49C1"/>
    <w:rsid w:val="00BD0C0E"/>
    <w:rsid w:val="00BD1E13"/>
    <w:rsid w:val="00BD42F6"/>
    <w:rsid w:val="00BD5244"/>
    <w:rsid w:val="00BD6865"/>
    <w:rsid w:val="00BE192E"/>
    <w:rsid w:val="00BE2BDE"/>
    <w:rsid w:val="00BE4B4C"/>
    <w:rsid w:val="00BE5671"/>
    <w:rsid w:val="00BE6DD8"/>
    <w:rsid w:val="00BE715C"/>
    <w:rsid w:val="00BF0898"/>
    <w:rsid w:val="00BF405F"/>
    <w:rsid w:val="00BF5C96"/>
    <w:rsid w:val="00C00044"/>
    <w:rsid w:val="00C0263A"/>
    <w:rsid w:val="00C033B4"/>
    <w:rsid w:val="00C03C32"/>
    <w:rsid w:val="00C051AE"/>
    <w:rsid w:val="00C06F0B"/>
    <w:rsid w:val="00C17CEE"/>
    <w:rsid w:val="00C20CE1"/>
    <w:rsid w:val="00C22CB3"/>
    <w:rsid w:val="00C24287"/>
    <w:rsid w:val="00C346A9"/>
    <w:rsid w:val="00C47D2D"/>
    <w:rsid w:val="00C5128E"/>
    <w:rsid w:val="00C53339"/>
    <w:rsid w:val="00C5781F"/>
    <w:rsid w:val="00C75596"/>
    <w:rsid w:val="00C77D24"/>
    <w:rsid w:val="00C83941"/>
    <w:rsid w:val="00C867D8"/>
    <w:rsid w:val="00C900CB"/>
    <w:rsid w:val="00C92742"/>
    <w:rsid w:val="00C92F2B"/>
    <w:rsid w:val="00C937AA"/>
    <w:rsid w:val="00CA24CF"/>
    <w:rsid w:val="00CA4BEB"/>
    <w:rsid w:val="00CA65EB"/>
    <w:rsid w:val="00CB038E"/>
    <w:rsid w:val="00CB1FC3"/>
    <w:rsid w:val="00CB467D"/>
    <w:rsid w:val="00CB66E7"/>
    <w:rsid w:val="00CC18C8"/>
    <w:rsid w:val="00CC2C48"/>
    <w:rsid w:val="00CC3DAA"/>
    <w:rsid w:val="00CC6C14"/>
    <w:rsid w:val="00CE03F0"/>
    <w:rsid w:val="00CE139A"/>
    <w:rsid w:val="00CE20D5"/>
    <w:rsid w:val="00CE71AF"/>
    <w:rsid w:val="00CE782E"/>
    <w:rsid w:val="00CF5BDD"/>
    <w:rsid w:val="00D032CA"/>
    <w:rsid w:val="00D03FF5"/>
    <w:rsid w:val="00D06BF3"/>
    <w:rsid w:val="00D155EA"/>
    <w:rsid w:val="00D203F6"/>
    <w:rsid w:val="00D23371"/>
    <w:rsid w:val="00D27BC8"/>
    <w:rsid w:val="00D307EF"/>
    <w:rsid w:val="00D42986"/>
    <w:rsid w:val="00D43941"/>
    <w:rsid w:val="00D43EDF"/>
    <w:rsid w:val="00D45D96"/>
    <w:rsid w:val="00D46A4D"/>
    <w:rsid w:val="00D54C86"/>
    <w:rsid w:val="00D611EB"/>
    <w:rsid w:val="00D62999"/>
    <w:rsid w:val="00D63217"/>
    <w:rsid w:val="00D64C0D"/>
    <w:rsid w:val="00D66C94"/>
    <w:rsid w:val="00D67354"/>
    <w:rsid w:val="00D71A56"/>
    <w:rsid w:val="00D77A6A"/>
    <w:rsid w:val="00D80ED4"/>
    <w:rsid w:val="00D85092"/>
    <w:rsid w:val="00D85233"/>
    <w:rsid w:val="00D914E4"/>
    <w:rsid w:val="00D96042"/>
    <w:rsid w:val="00D97A6D"/>
    <w:rsid w:val="00DB168E"/>
    <w:rsid w:val="00DB5E93"/>
    <w:rsid w:val="00DC7D94"/>
    <w:rsid w:val="00DD290F"/>
    <w:rsid w:val="00DE1A14"/>
    <w:rsid w:val="00DE352F"/>
    <w:rsid w:val="00DE5242"/>
    <w:rsid w:val="00DE6414"/>
    <w:rsid w:val="00DE70E3"/>
    <w:rsid w:val="00DF2425"/>
    <w:rsid w:val="00DF4053"/>
    <w:rsid w:val="00DF4260"/>
    <w:rsid w:val="00DF7BB5"/>
    <w:rsid w:val="00E0265A"/>
    <w:rsid w:val="00E04072"/>
    <w:rsid w:val="00E04989"/>
    <w:rsid w:val="00E068D6"/>
    <w:rsid w:val="00E352D7"/>
    <w:rsid w:val="00E362B1"/>
    <w:rsid w:val="00E415E1"/>
    <w:rsid w:val="00E4328B"/>
    <w:rsid w:val="00E44AEB"/>
    <w:rsid w:val="00E47946"/>
    <w:rsid w:val="00E514E8"/>
    <w:rsid w:val="00E5450A"/>
    <w:rsid w:val="00E62BA8"/>
    <w:rsid w:val="00E63566"/>
    <w:rsid w:val="00E6546F"/>
    <w:rsid w:val="00E701A8"/>
    <w:rsid w:val="00E71406"/>
    <w:rsid w:val="00E7286E"/>
    <w:rsid w:val="00E75D15"/>
    <w:rsid w:val="00E76903"/>
    <w:rsid w:val="00E82F73"/>
    <w:rsid w:val="00E845D6"/>
    <w:rsid w:val="00E91D5C"/>
    <w:rsid w:val="00E92C39"/>
    <w:rsid w:val="00E95FEA"/>
    <w:rsid w:val="00E972BC"/>
    <w:rsid w:val="00EA4803"/>
    <w:rsid w:val="00EA7546"/>
    <w:rsid w:val="00EB0882"/>
    <w:rsid w:val="00EB479E"/>
    <w:rsid w:val="00ED0B20"/>
    <w:rsid w:val="00ED0D71"/>
    <w:rsid w:val="00ED1B49"/>
    <w:rsid w:val="00ED22C4"/>
    <w:rsid w:val="00ED2AC5"/>
    <w:rsid w:val="00ED56A1"/>
    <w:rsid w:val="00ED68C2"/>
    <w:rsid w:val="00ED77E9"/>
    <w:rsid w:val="00EE1FBC"/>
    <w:rsid w:val="00EE49AC"/>
    <w:rsid w:val="00EE52E9"/>
    <w:rsid w:val="00EF0E77"/>
    <w:rsid w:val="00EF4CAC"/>
    <w:rsid w:val="00F0238B"/>
    <w:rsid w:val="00F04061"/>
    <w:rsid w:val="00F04BBC"/>
    <w:rsid w:val="00F07D89"/>
    <w:rsid w:val="00F11F7F"/>
    <w:rsid w:val="00F20718"/>
    <w:rsid w:val="00F20786"/>
    <w:rsid w:val="00F30741"/>
    <w:rsid w:val="00F32753"/>
    <w:rsid w:val="00F327FA"/>
    <w:rsid w:val="00F32FB4"/>
    <w:rsid w:val="00F4260F"/>
    <w:rsid w:val="00F47C06"/>
    <w:rsid w:val="00F542CA"/>
    <w:rsid w:val="00F54D3F"/>
    <w:rsid w:val="00F555DF"/>
    <w:rsid w:val="00F61518"/>
    <w:rsid w:val="00F61908"/>
    <w:rsid w:val="00F61B8F"/>
    <w:rsid w:val="00F66028"/>
    <w:rsid w:val="00F710E0"/>
    <w:rsid w:val="00F84488"/>
    <w:rsid w:val="00FA10B5"/>
    <w:rsid w:val="00FA5F38"/>
    <w:rsid w:val="00FA6685"/>
    <w:rsid w:val="00FB2720"/>
    <w:rsid w:val="00FB2F4F"/>
    <w:rsid w:val="00FB36B1"/>
    <w:rsid w:val="00FB384C"/>
    <w:rsid w:val="00FB5D0E"/>
    <w:rsid w:val="00FB6289"/>
    <w:rsid w:val="00FC7598"/>
    <w:rsid w:val="00FC7EDA"/>
    <w:rsid w:val="00FE1384"/>
    <w:rsid w:val="00FF3465"/>
    <w:rsid w:val="00FF54F0"/>
    <w:rsid w:val="00FF7051"/>
    <w:rsid w:val="0CA33529"/>
    <w:rsid w:val="34EE2F66"/>
    <w:rsid w:val="3E2F54FB"/>
    <w:rsid w:val="725A09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name="Body Text"/>
    <w:lsdException w:qFormat="1" w:unhideWhenUsed="0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qFormat="1"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">
    <w:name w:val="heading 1"/>
    <w:basedOn w:val="1"/>
    <w:next w:val="1"/>
    <w:link w:val="61"/>
    <w:qFormat/>
    <w:uiPriority w:val="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FollowedHyperlink"/>
    <w:basedOn w:val="3"/>
    <w:semiHidden/>
    <w:unhideWhenUsed/>
    <w:qFormat/>
    <w:uiPriority w:val="99"/>
    <w:rPr>
      <w:rFonts w:cs="Times New Roman"/>
      <w:color w:val="800080"/>
      <w:u w:val="single"/>
    </w:rPr>
  </w:style>
  <w:style w:type="character" w:styleId="6">
    <w:name w:val="annotation reference"/>
    <w:basedOn w:val="3"/>
    <w:semiHidden/>
    <w:unhideWhenUsed/>
    <w:qFormat/>
    <w:uiPriority w:val="99"/>
    <w:rPr>
      <w:sz w:val="16"/>
      <w:szCs w:val="16"/>
    </w:rPr>
  </w:style>
  <w:style w:type="character" w:styleId="7">
    <w:name w:val="Hyperlink"/>
    <w:basedOn w:val="3"/>
    <w:unhideWhenUsed/>
    <w:qFormat/>
    <w:uiPriority w:val="99"/>
    <w:rPr>
      <w:rFonts w:cs="Times New Roman"/>
      <w:color w:val="0000FF"/>
      <w:u w:val="single"/>
    </w:rPr>
  </w:style>
  <w:style w:type="paragraph" w:styleId="8">
    <w:name w:val="Balloon Text"/>
    <w:basedOn w:val="1"/>
    <w:link w:val="20"/>
    <w:semiHidden/>
    <w:unhideWhenUsed/>
    <w:qFormat/>
    <w:uiPriority w:val="99"/>
    <w:rPr>
      <w:rFonts w:ascii="Tahoma" w:hAnsi="Tahoma" w:cs="Tahoma"/>
      <w:sz w:val="16"/>
      <w:szCs w:val="16"/>
    </w:rPr>
  </w:style>
  <w:style w:type="paragraph" w:styleId="9">
    <w:name w:val="annotation text"/>
    <w:basedOn w:val="1"/>
    <w:link w:val="59"/>
    <w:semiHidden/>
    <w:unhideWhenUsed/>
    <w:qFormat/>
    <w:uiPriority w:val="99"/>
    <w:rPr>
      <w:sz w:val="20"/>
      <w:szCs w:val="20"/>
    </w:rPr>
  </w:style>
  <w:style w:type="paragraph" w:styleId="10">
    <w:name w:val="annotation subject"/>
    <w:basedOn w:val="9"/>
    <w:next w:val="9"/>
    <w:link w:val="60"/>
    <w:semiHidden/>
    <w:unhideWhenUsed/>
    <w:qFormat/>
    <w:uiPriority w:val="99"/>
    <w:rPr>
      <w:b/>
      <w:bCs/>
    </w:rPr>
  </w:style>
  <w:style w:type="paragraph" w:styleId="11">
    <w:name w:val="header"/>
    <w:basedOn w:val="1"/>
    <w:link w:val="18"/>
    <w:unhideWhenUsed/>
    <w:qFormat/>
    <w:uiPriority w:val="99"/>
    <w:pPr>
      <w:tabs>
        <w:tab w:val="center" w:pos="4677"/>
        <w:tab w:val="right" w:pos="9355"/>
      </w:tabs>
    </w:pPr>
  </w:style>
  <w:style w:type="paragraph" w:styleId="12">
    <w:name w:val="Body Text"/>
    <w:basedOn w:val="1"/>
    <w:link w:val="58"/>
    <w:semiHidden/>
    <w:unhideWhenUsed/>
    <w:qFormat/>
    <w:uiPriority w:val="99"/>
    <w:pPr>
      <w:spacing w:after="120"/>
    </w:pPr>
  </w:style>
  <w:style w:type="paragraph" w:styleId="13">
    <w:name w:val="Body Text Indent"/>
    <w:basedOn w:val="1"/>
    <w:link w:val="55"/>
    <w:qFormat/>
    <w:uiPriority w:val="99"/>
    <w:pPr>
      <w:spacing w:after="120"/>
      <w:ind w:left="283"/>
    </w:pPr>
  </w:style>
  <w:style w:type="paragraph" w:styleId="14">
    <w:name w:val="footer"/>
    <w:basedOn w:val="1"/>
    <w:link w:val="19"/>
    <w:unhideWhenUsed/>
    <w:qFormat/>
    <w:uiPriority w:val="99"/>
    <w:pPr>
      <w:tabs>
        <w:tab w:val="center" w:pos="4677"/>
        <w:tab w:val="right" w:pos="9355"/>
      </w:tabs>
    </w:pPr>
  </w:style>
  <w:style w:type="paragraph" w:styleId="15">
    <w:name w:val="Normal (Web)"/>
    <w:basedOn w:val="1"/>
    <w:semiHidden/>
    <w:unhideWhenUsed/>
    <w:qFormat/>
    <w:uiPriority w:val="99"/>
    <w:pPr>
      <w:spacing w:before="100" w:beforeAutospacing="1" w:after="100" w:afterAutospacing="1"/>
    </w:pPr>
  </w:style>
  <w:style w:type="paragraph" w:styleId="16">
    <w:name w:val="Body Text Indent 2"/>
    <w:basedOn w:val="1"/>
    <w:link w:val="57"/>
    <w:semiHidden/>
    <w:unhideWhenUsed/>
    <w:qFormat/>
    <w:uiPriority w:val="99"/>
    <w:pPr>
      <w:spacing w:after="120" w:line="480" w:lineRule="auto"/>
      <w:ind w:left="283"/>
    </w:pPr>
  </w:style>
  <w:style w:type="table" w:styleId="17">
    <w:name w:val="Table Grid"/>
    <w:basedOn w:val="4"/>
    <w:qFormat/>
    <w:uiPriority w:val="59"/>
    <w:rPr>
      <w:rFonts w:ascii="Times New Roman" w:hAnsi="Times New Roman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8">
    <w:name w:val="Верхний колонтитул Знак"/>
    <w:basedOn w:val="3"/>
    <w:link w:val="11"/>
    <w:qFormat/>
    <w:locked/>
    <w:uiPriority w:val="9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9">
    <w:name w:val="Нижний колонтитул Знак"/>
    <w:basedOn w:val="3"/>
    <w:link w:val="14"/>
    <w:qFormat/>
    <w:locked/>
    <w:uiPriority w:val="9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20">
    <w:name w:val="Текст выноски Знак"/>
    <w:basedOn w:val="3"/>
    <w:link w:val="8"/>
    <w:semiHidden/>
    <w:qFormat/>
    <w:locked/>
    <w:uiPriority w:val="99"/>
    <w:rPr>
      <w:rFonts w:ascii="Tahoma" w:hAnsi="Tahoma" w:cs="Tahoma"/>
      <w:sz w:val="16"/>
      <w:szCs w:val="16"/>
      <w:lang w:eastAsia="ru-RU"/>
    </w:rPr>
  </w:style>
  <w:style w:type="paragraph" w:styleId="21">
    <w:name w:val="No Spacing"/>
    <w:qFormat/>
    <w:uiPriority w:val="1"/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paragraph" w:styleId="22">
    <w:name w:val="List Paragraph"/>
    <w:basedOn w:val="1"/>
    <w:link w:val="56"/>
    <w:qFormat/>
    <w:uiPriority w:val="34"/>
    <w:pPr>
      <w:ind w:left="720"/>
      <w:contextualSpacing/>
    </w:pPr>
  </w:style>
  <w:style w:type="paragraph" w:customStyle="1" w:styleId="23">
    <w:name w:val="ConsPlusNormal"/>
    <w:qFormat/>
    <w:uiPriority w:val="0"/>
    <w:pPr>
      <w:widowControl w:val="0"/>
      <w:autoSpaceDE w:val="0"/>
      <w:autoSpaceDN w:val="0"/>
      <w:adjustRightInd w:val="0"/>
      <w:ind w:firstLine="720"/>
    </w:pPr>
    <w:rPr>
      <w:rFonts w:ascii="Arial" w:hAnsi="Arial" w:eastAsia="Times New Roman" w:cs="Arial"/>
      <w:lang w:val="ru-RU" w:eastAsia="ru-RU" w:bidi="ar-SA"/>
    </w:rPr>
  </w:style>
  <w:style w:type="paragraph" w:customStyle="1" w:styleId="24">
    <w:name w:val="ConsPlusNonformat"/>
    <w:qFormat/>
    <w:uiPriority w:val="99"/>
    <w:pPr>
      <w:widowControl w:val="0"/>
      <w:autoSpaceDE w:val="0"/>
      <w:autoSpaceDN w:val="0"/>
      <w:adjustRightInd w:val="0"/>
    </w:pPr>
    <w:rPr>
      <w:rFonts w:ascii="Courier New" w:hAnsi="Courier New" w:eastAsia="Times New Roman" w:cs="Courier New"/>
      <w:lang w:val="ru-RU" w:eastAsia="ru-RU" w:bidi="ar-SA"/>
    </w:rPr>
  </w:style>
  <w:style w:type="paragraph" w:customStyle="1" w:styleId="25">
    <w:name w:val="ConsPlusTitle"/>
    <w:qFormat/>
    <w:uiPriority w:val="0"/>
    <w:pPr>
      <w:widowControl w:val="0"/>
      <w:autoSpaceDE w:val="0"/>
      <w:autoSpaceDN w:val="0"/>
      <w:adjustRightInd w:val="0"/>
    </w:pPr>
    <w:rPr>
      <w:rFonts w:ascii="Arial" w:hAnsi="Arial" w:eastAsia="Times New Roman" w:cs="Arial"/>
      <w:b/>
      <w:bCs/>
      <w:lang w:val="ru-RU" w:eastAsia="ru-RU" w:bidi="ar-SA"/>
    </w:rPr>
  </w:style>
  <w:style w:type="character" w:customStyle="1" w:styleId="26">
    <w:name w:val="Основной текст_"/>
    <w:link w:val="27"/>
    <w:qFormat/>
    <w:locked/>
    <w:uiPriority w:val="0"/>
    <w:rPr>
      <w:rFonts w:ascii="Sylfaen" w:hAnsi="Sylfaen"/>
      <w:sz w:val="21"/>
      <w:shd w:val="clear" w:color="auto" w:fill="FFFFFF"/>
    </w:rPr>
  </w:style>
  <w:style w:type="paragraph" w:customStyle="1" w:styleId="27">
    <w:name w:val="Основной текст1"/>
    <w:basedOn w:val="1"/>
    <w:link w:val="26"/>
    <w:qFormat/>
    <w:uiPriority w:val="0"/>
    <w:pPr>
      <w:shd w:val="clear" w:color="auto" w:fill="FFFFFF"/>
      <w:spacing w:before="720" w:line="407" w:lineRule="exact"/>
    </w:pPr>
    <w:rPr>
      <w:rFonts w:ascii="Sylfaen" w:hAnsi="Sylfaen"/>
      <w:sz w:val="21"/>
      <w:szCs w:val="21"/>
      <w:lang w:eastAsia="en-US"/>
    </w:rPr>
  </w:style>
  <w:style w:type="character" w:customStyle="1" w:styleId="28">
    <w:name w:val="Основной текст (2)_"/>
    <w:link w:val="29"/>
    <w:qFormat/>
    <w:locked/>
    <w:uiPriority w:val="0"/>
    <w:rPr>
      <w:rFonts w:ascii="Sylfaen" w:hAnsi="Sylfaen"/>
      <w:sz w:val="21"/>
      <w:shd w:val="clear" w:color="auto" w:fill="FFFFFF"/>
    </w:rPr>
  </w:style>
  <w:style w:type="paragraph" w:customStyle="1" w:styleId="29">
    <w:name w:val="Основной текст (2)"/>
    <w:basedOn w:val="1"/>
    <w:link w:val="28"/>
    <w:qFormat/>
    <w:uiPriority w:val="0"/>
    <w:pPr>
      <w:shd w:val="clear" w:color="auto" w:fill="FFFFFF"/>
      <w:spacing w:line="378" w:lineRule="exact"/>
    </w:pPr>
    <w:rPr>
      <w:rFonts w:ascii="Sylfaen" w:hAnsi="Sylfaen"/>
      <w:sz w:val="21"/>
      <w:szCs w:val="21"/>
      <w:lang w:eastAsia="en-US"/>
    </w:rPr>
  </w:style>
  <w:style w:type="character" w:customStyle="1" w:styleId="30">
    <w:name w:val="Заголовок №2_"/>
    <w:link w:val="31"/>
    <w:qFormat/>
    <w:locked/>
    <w:uiPriority w:val="0"/>
    <w:rPr>
      <w:sz w:val="24"/>
      <w:shd w:val="clear" w:color="auto" w:fill="FFFFFF"/>
    </w:rPr>
  </w:style>
  <w:style w:type="paragraph" w:customStyle="1" w:styleId="31">
    <w:name w:val="Заголовок №2"/>
    <w:basedOn w:val="1"/>
    <w:link w:val="30"/>
    <w:qFormat/>
    <w:uiPriority w:val="0"/>
    <w:pPr>
      <w:shd w:val="clear" w:color="auto" w:fill="FFFFFF"/>
      <w:spacing w:before="360" w:after="60" w:line="240" w:lineRule="atLeast"/>
      <w:outlineLvl w:val="1"/>
    </w:pPr>
    <w:rPr>
      <w:rFonts w:asciiTheme="minorHAnsi" w:hAnsiTheme="minorHAnsi"/>
      <w:lang w:eastAsia="en-US"/>
    </w:rPr>
  </w:style>
  <w:style w:type="paragraph" w:customStyle="1" w:styleId="32">
    <w:name w:val="xl64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33">
    <w:name w:val="xl65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</w:pPr>
  </w:style>
  <w:style w:type="paragraph" w:customStyle="1" w:styleId="34">
    <w:name w:val="xl66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35">
    <w:name w:val="xl67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36">
    <w:name w:val="xl68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center"/>
    </w:pPr>
  </w:style>
  <w:style w:type="paragraph" w:customStyle="1" w:styleId="37">
    <w:name w:val="xl69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38">
    <w:name w:val="xl70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39">
    <w:name w:val="xl71"/>
    <w:basedOn w:val="1"/>
    <w:qFormat/>
    <w:uiPriority w:val="0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40">
    <w:name w:val="xl63"/>
    <w:basedOn w:val="1"/>
    <w:qFormat/>
    <w:uiPriority w:val="99"/>
    <w:pPr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41">
    <w:name w:val="xl72"/>
    <w:basedOn w:val="1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42">
    <w:name w:val="xl73"/>
    <w:basedOn w:val="1"/>
    <w:qFormat/>
    <w:uiPriority w:val="0"/>
    <w:pPr>
      <w:pBdr>
        <w:top w:val="single" w:color="auto" w:sz="4" w:space="0"/>
        <w:bottom w:val="single" w:color="auto" w:sz="4" w:space="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43">
    <w:name w:val="xl74"/>
    <w:basedOn w:val="1"/>
    <w:qFormat/>
    <w:uiPriority w:val="0"/>
    <w:pPr>
      <w:pBdr>
        <w:top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b/>
      <w:bCs/>
      <w:sz w:val="18"/>
      <w:szCs w:val="18"/>
    </w:rPr>
  </w:style>
  <w:style w:type="paragraph" w:customStyle="1" w:styleId="44">
    <w:name w:val="xl75"/>
    <w:basedOn w:val="1"/>
    <w:qFormat/>
    <w:uiPriority w:val="0"/>
    <w:pPr>
      <w:pBdr>
        <w:top w:val="single" w:color="auto" w:sz="8" w:space="0"/>
        <w:left w:val="single" w:color="auto" w:sz="8" w:space="0"/>
        <w:bottom w:val="single" w:color="auto" w:sz="8" w:space="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45">
    <w:name w:val="xl76"/>
    <w:basedOn w:val="1"/>
    <w:qFormat/>
    <w:uiPriority w:val="0"/>
    <w:pPr>
      <w:pBdr>
        <w:top w:val="single" w:color="auto" w:sz="8" w:space="0"/>
        <w:bottom w:val="single" w:color="auto" w:sz="8" w:space="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46">
    <w:name w:val="xl77"/>
    <w:basedOn w:val="1"/>
    <w:qFormat/>
    <w:uiPriority w:val="0"/>
    <w:pPr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47">
    <w:name w:val="xl78"/>
    <w:basedOn w:val="1"/>
    <w:qFormat/>
    <w:uiPriority w:val="99"/>
    <w:pPr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48">
    <w:name w:val="xl79"/>
    <w:basedOn w:val="1"/>
    <w:qFormat/>
    <w:uiPriority w:val="99"/>
    <w:pPr>
      <w:pBdr>
        <w:top w:val="single" w:color="auto" w:sz="8" w:space="0"/>
        <w:left w:val="single" w:color="auto" w:sz="8" w:space="0"/>
        <w:bottom w:val="single" w:color="auto" w:sz="8" w:space="0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49">
    <w:name w:val="xl80"/>
    <w:basedOn w:val="1"/>
    <w:qFormat/>
    <w:uiPriority w:val="99"/>
    <w:pPr>
      <w:pBdr>
        <w:top w:val="single" w:color="auto" w:sz="8" w:space="0"/>
        <w:bottom w:val="single" w:color="auto" w:sz="8" w:space="0"/>
      </w:pBdr>
      <w:spacing w:before="100" w:beforeAutospacing="1" w:after="100" w:afterAutospacing="1"/>
      <w:jc w:val="center"/>
    </w:pPr>
    <w:rPr>
      <w:sz w:val="18"/>
      <w:szCs w:val="18"/>
    </w:rPr>
  </w:style>
  <w:style w:type="character" w:customStyle="1" w:styleId="50">
    <w:name w:val="Основной текст + Полужирный"/>
    <w:qFormat/>
    <w:uiPriority w:val="0"/>
    <w:rPr>
      <w:rFonts w:ascii="Sylfaen" w:hAnsi="Sylfaen"/>
      <w:b/>
      <w:spacing w:val="0"/>
      <w:sz w:val="21"/>
    </w:rPr>
  </w:style>
  <w:style w:type="character" w:customStyle="1" w:styleId="51">
    <w:name w:val="Основной текст + 11 pt"/>
    <w:qFormat/>
    <w:uiPriority w:val="0"/>
    <w:rPr>
      <w:rFonts w:ascii="Times New Roman" w:hAnsi="Times New Roman"/>
      <w:spacing w:val="0"/>
      <w:sz w:val="22"/>
    </w:rPr>
  </w:style>
  <w:style w:type="character" w:customStyle="1" w:styleId="52">
    <w:name w:val="Основной текст + Полужирный1"/>
    <w:qFormat/>
    <w:uiPriority w:val="0"/>
    <w:rPr>
      <w:rFonts w:ascii="Times New Roman" w:hAnsi="Times New Roman"/>
      <w:b/>
      <w:spacing w:val="0"/>
      <w:sz w:val="24"/>
    </w:rPr>
  </w:style>
  <w:style w:type="paragraph" w:customStyle="1" w:styleId="53">
    <w:name w:val="ConsNonformat"/>
    <w:qFormat/>
    <w:uiPriority w:val="99"/>
    <w:pPr>
      <w:widowControl w:val="0"/>
      <w:autoSpaceDE w:val="0"/>
      <w:autoSpaceDN w:val="0"/>
      <w:adjustRightInd w:val="0"/>
      <w:ind w:right="19772"/>
    </w:pPr>
    <w:rPr>
      <w:rFonts w:ascii="Courier New" w:hAnsi="Courier New" w:eastAsia="Times New Roman" w:cs="Courier New"/>
      <w:lang w:val="ru-RU" w:eastAsia="ru-RU" w:bidi="ar-SA"/>
    </w:rPr>
  </w:style>
  <w:style w:type="table" w:customStyle="1" w:styleId="54">
    <w:name w:val="Сетка таблицы4"/>
    <w:basedOn w:val="4"/>
    <w:qFormat/>
    <w:uiPriority w:val="0"/>
    <w:rPr>
      <w:rFonts w:ascii="Times New Roman" w:hAnsi="Times New Roman" w:cs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customStyle="1" w:styleId="55">
    <w:name w:val="Основной текст с отступом Знак"/>
    <w:basedOn w:val="3"/>
    <w:link w:val="13"/>
    <w:qFormat/>
    <w:locked/>
    <w:uiPriority w:val="9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56">
    <w:name w:val="Абзац списка Знак"/>
    <w:basedOn w:val="3"/>
    <w:link w:val="22"/>
    <w:qFormat/>
    <w:locked/>
    <w:uiPriority w:val="34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57">
    <w:name w:val="Основной текст с отступом 2 Знак"/>
    <w:basedOn w:val="3"/>
    <w:link w:val="16"/>
    <w:semiHidden/>
    <w:qFormat/>
    <w:uiPriority w:val="9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58">
    <w:name w:val="Основной текст Знак"/>
    <w:basedOn w:val="3"/>
    <w:link w:val="12"/>
    <w:semiHidden/>
    <w:qFormat/>
    <w:uiPriority w:val="9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59">
    <w:name w:val="Текст примечания Знак"/>
    <w:basedOn w:val="3"/>
    <w:link w:val="9"/>
    <w:semiHidden/>
    <w:qFormat/>
    <w:uiPriority w:val="99"/>
    <w:rPr>
      <w:rFonts w:ascii="Times New Roman" w:hAnsi="Times New Roman" w:cs="Times New Roman"/>
      <w:sz w:val="20"/>
      <w:szCs w:val="20"/>
      <w:lang w:eastAsia="ru-RU"/>
    </w:rPr>
  </w:style>
  <w:style w:type="character" w:customStyle="1" w:styleId="60">
    <w:name w:val="Тема примечания Знак"/>
    <w:basedOn w:val="59"/>
    <w:link w:val="10"/>
    <w:semiHidden/>
    <w:qFormat/>
    <w:uiPriority w:val="99"/>
    <w:rPr>
      <w:rFonts w:ascii="Times New Roman" w:hAnsi="Times New Roman" w:cs="Times New Roman"/>
      <w:b/>
      <w:bCs/>
      <w:sz w:val="20"/>
      <w:szCs w:val="20"/>
      <w:lang w:eastAsia="ru-RU"/>
    </w:rPr>
  </w:style>
  <w:style w:type="character" w:customStyle="1" w:styleId="61">
    <w:name w:val="Заголовок 1 Знак"/>
    <w:basedOn w:val="3"/>
    <w:link w:val="2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  <w:lang w:eastAsia="ru-RU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12</Pages>
  <Words>6400</Words>
  <Characters>36482</Characters>
  <Lines>304</Lines>
  <Paragraphs>85</Paragraphs>
  <TotalTime>0</TotalTime>
  <ScaleCrop>false</ScaleCrop>
  <LinksUpToDate>false</LinksUpToDate>
  <CharactersWithSpaces>42797</CharactersWithSpaces>
  <Application>WPS Office_12.2.0.19307_F1E327BC-269C-435d-A152-05C5408002CA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2025-08-19T07:18:00Z</dcterms:created>
  <dc:creator>l.krutova</dc:creator>
  <cp:lastModifiedBy>s.sycheva</cp:lastModifiedBy>
  <cp:lastPrinted>2021-01-11T09:05:00Z</cp:lastPrinted>
  <dcterms:modified xsi:type="dcterms:W3CDTF">2026-03-12T04:37:12Z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1049-12.2.0.19307</vt:lpwstr>
  </property>
  <property fmtid="{D5CDD505-2E9C-101B-9397-08002B2CF9AE}" pid="3" name="ICV">
    <vt:lpwstr>25929521ED174E80AF5867F5F8A2441C_13</vt:lpwstr>
  </property>
</Properties>
</file>