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D23E9">
      <w:pPr>
        <w:pStyle w:val="24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форма</w:t>
      </w:r>
    </w:p>
    <w:p w14:paraId="31AABAAE">
      <w:pPr>
        <w:pStyle w:val="24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ДОГОВОР № ______</w:t>
      </w:r>
    </w:p>
    <w:p w14:paraId="7DC86532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14:paraId="0BDF3404">
      <w:pPr>
        <w:pStyle w:val="23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7"/>
        <w:gridCol w:w="5028"/>
      </w:tblGrid>
      <w:tr w14:paraId="26994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27" w:type="dxa"/>
          </w:tcPr>
          <w:p w14:paraId="0CDB32E1">
            <w:pPr>
              <w:pStyle w:val="23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Кемерово                                                                         </w:t>
            </w:r>
          </w:p>
        </w:tc>
        <w:tc>
          <w:tcPr>
            <w:tcW w:w="5028" w:type="dxa"/>
          </w:tcPr>
          <w:p w14:paraId="503BA8C5">
            <w:pPr>
              <w:pStyle w:val="23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__________________20____ года</w:t>
            </w:r>
          </w:p>
          <w:p w14:paraId="1BC66EE7">
            <w:pPr>
              <w:pStyle w:val="23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14:paraId="610CE298">
      <w:pPr>
        <w:pStyle w:val="23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14:paraId="465DD4E8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Общество с ограниченной ответственностью Специализированный застройщик «СДС-Финанс»,</w:t>
      </w:r>
      <w:r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>
        <w:rPr>
          <w:rFonts w:ascii="Times New Roman" w:hAnsi="Times New Roman" w:cs="Times New Roman"/>
          <w:b/>
          <w:sz w:val="22"/>
          <w:szCs w:val="22"/>
        </w:rPr>
        <w:t>«Застройщик»</w:t>
      </w:r>
      <w:r>
        <w:rPr>
          <w:rFonts w:ascii="Times New Roman" w:hAnsi="Times New Roman" w:cs="Times New Roman"/>
          <w:sz w:val="22"/>
          <w:szCs w:val="22"/>
        </w:rPr>
        <w:t>, в лице ________________</w:t>
      </w:r>
      <w:r>
        <w:rPr>
          <w:rFonts w:ascii="Times New Roman" w:hAnsi="Times New Roman" w:cs="Times New Roman"/>
          <w:sz w:val="21"/>
          <w:szCs w:val="21"/>
        </w:rPr>
        <w:t xml:space="preserve">, действующей на основании доверенности от ______________ года, удостоверенной нотариусом Кемеровского нотариального округа Кемеровской области ______________, </w:t>
      </w:r>
      <w:r>
        <w:rPr>
          <w:rFonts w:ascii="Times New Roman" w:hAnsi="Times New Roman" w:cs="Times New Roman"/>
          <w:sz w:val="22"/>
          <w:szCs w:val="22"/>
        </w:rPr>
        <w:t>с одной стороны, и</w:t>
      </w: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5"/>
      </w:tblGrid>
      <w:tr w14:paraId="409C32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55" w:type="dxa"/>
          </w:tcPr>
          <w:p w14:paraId="18BDB382">
            <w:pPr>
              <w:pStyle w:val="22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___________________, _____________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14:paraId="435AB0D9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именуемый в дальнейшем </w:t>
      </w:r>
      <w:r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>
        <w:rPr>
          <w:rFonts w:ascii="Times New Roman" w:hAnsi="Times New Roman" w:cs="Times New Roman"/>
          <w:b/>
          <w:sz w:val="22"/>
          <w:szCs w:val="22"/>
        </w:rPr>
        <w:t>«Стороны»,</w:t>
      </w:r>
      <w:r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14:paraId="093F4D40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>
        <w:rPr>
          <w:rFonts w:ascii="Times New Roman" w:hAnsi="Times New Roman" w:cs="Times New Roman"/>
          <w:sz w:val="22"/>
          <w:szCs w:val="22"/>
        </w:rPr>
        <w:t xml:space="preserve">  (далее по тексту - Федеральный закон № 214-ФЗ) заключили настоящий Договор о нижеследующем:</w:t>
      </w:r>
    </w:p>
    <w:p w14:paraId="5C83509D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34B87200">
      <w:pPr>
        <w:pStyle w:val="22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14:paraId="22FA311C">
      <w:pPr>
        <w:pStyle w:val="22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1.1.  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 30А, расположенный по строительному адресу: Кемеровская область-Кузбасс, Кемеровский городской округ, город Кемерово, Центральный район, микрорайон №7Б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Дом расположен , микрорайон №7Б, строительный номер №30А, 30Б.Категория земель: земли населённых пунктов, виды разрешенного использования: многоэтажная жилая застройка (высотная застройка) - далее по тексту - Земельный участок. Земельный участок принадлежит Застройщику на праве аренды.на земельном участке с кадастровым номером 42:24:0501009:8153, площадью 6 568 кв.м., адрес (местоположение): Российская Федерация, Кемеровская область-Кузбасс, Кемеровский городской округ, г. Кемерово </w:t>
      </w:r>
    </w:p>
    <w:p w14:paraId="733AC11B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1.2. Основные характеристики Дома, подлежащие определению в настоящем Договоре в соответствии с Федеральным законом № 214-ФЗ:</w:t>
      </w:r>
    </w:p>
    <w:p w14:paraId="300F2305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53"/>
        <w:tblW w:w="1020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3"/>
        <w:gridCol w:w="3863"/>
      </w:tblGrid>
      <w:tr w14:paraId="7669BA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4FBF342F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7541BFD8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14:paraId="2162F9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511E01E8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14:paraId="073BEF96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</w:tr>
      <w:tr w14:paraId="08F43D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6D17E80D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492E1BFB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Жилое</w:t>
            </w:r>
          </w:p>
        </w:tc>
      </w:tr>
      <w:tr w14:paraId="5A04F2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1CE1B4DB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19E3FA45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</w:tr>
      <w:tr w14:paraId="6849AC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0ACC4CCC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14:paraId="5AAADF69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9 818.7 </w:t>
            </w:r>
            <w:r>
              <w:rPr>
                <w:sz w:val="22"/>
                <w:szCs w:val="22"/>
              </w:rPr>
              <w:t>кв</w:t>
            </w:r>
            <w:r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</w:tr>
      <w:tr w14:paraId="34216E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6D7B6AD1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32BDBDA7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 сборным железобетонным каркасом и стенами из крупных каменных  блоков и панелей</w:t>
            </w:r>
          </w:p>
        </w:tc>
      </w:tr>
      <w:tr w14:paraId="5917B2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019A4076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15A7954F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сборные железобетонные</w:t>
            </w:r>
          </w:p>
        </w:tc>
      </w:tr>
      <w:tr w14:paraId="1568CC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7D1A0E7E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6BAAE039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14:paraId="7CA2B2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707F72A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645DC6DB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баллов</w:t>
            </w:r>
          </w:p>
        </w:tc>
      </w:tr>
    </w:tbl>
    <w:p w14:paraId="089E04CB">
      <w:pPr>
        <w:pStyle w:val="22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12A9FD0">
      <w:pPr>
        <w:pStyle w:val="22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b/>
          <w:color w:val="000000" w:themeColor="text1"/>
          <w:sz w:val="2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 xml:space="preserve">        1.3. </w:t>
      </w:r>
      <w:r>
        <w:rPr>
          <w:rFonts w:ascii="Times New Roman" w:hAnsi="Times New Roman" w:cs="Times New Roman"/>
          <w:color w:val="000000" w:themeColor="text1"/>
          <w:sz w:val="21"/>
          <w:szCs w:val="21"/>
          <w:highlight w:val="none"/>
          <w14:textFill>
            <w14:solidFill>
              <w14:schemeClr w14:val="tx1"/>
            </w14:solidFill>
          </w14:textFill>
        </w:rPr>
        <w:t xml:space="preserve"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сооружений», </w:t>
      </w:r>
      <w:r>
        <w:rPr>
          <w:rFonts w:ascii="Times New Roman" w:hAnsi="Times New Roman" w:cs="Times New Roman"/>
          <w:color w:val="000000" w:themeColor="text1"/>
          <w:sz w:val="22"/>
          <w:szCs w:val="22"/>
          <w:highlight w:val="none"/>
          <w14:textFill>
            <w14:solidFill>
              <w14:schemeClr w14:val="tx1"/>
            </w14:solidFill>
          </w14:textFill>
        </w:rPr>
        <w:t xml:space="preserve">также согласно ГОСТ 72509-2026 «Отделочные работы», утвержденного Приказом №66-ст Федерального агентства по техническому регулированию и метрологии от 30.01.2026 (далее по тексту – ГОСТ 72509-2026).  </w:t>
      </w:r>
      <w:r>
        <w:rPr>
          <w:rFonts w:ascii="Times New Roman" w:hAnsi="Times New Roman" w:cs="Times New Roman"/>
          <w:color w:val="000000" w:themeColor="text1"/>
          <w:sz w:val="21"/>
          <w:szCs w:val="21"/>
          <w:highlight w:val="none"/>
          <w14:textFill>
            <w14:solidFill>
              <w14:schemeClr w14:val="tx1"/>
            </w14:solidFill>
          </w14:textFill>
        </w:rPr>
        <w:t>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4B41ADA7">
      <w:pPr>
        <w:pStyle w:val="22"/>
        <w:widowControl/>
        <w:tabs>
          <w:tab w:val="left" w:pos="0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1.4. Помещение имеет следующие основные характеристики:</w:t>
      </w:r>
    </w:p>
    <w:tbl>
      <w:tblPr>
        <w:tblStyle w:val="3"/>
        <w:tblW w:w="0" w:type="auto"/>
        <w:tblInd w:w="1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40" w:type="dxa"/>
          <w:bottom w:w="0" w:type="dxa"/>
          <w:right w:w="40" w:type="dxa"/>
        </w:tblCellMar>
      </w:tblPr>
      <w:tblGrid>
        <w:gridCol w:w="3953"/>
        <w:gridCol w:w="5107"/>
      </w:tblGrid>
      <w:tr w14:paraId="1A7FC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1AFB74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D1645C7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14:paraId="05A65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2BE050F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z w:val="22"/>
                <w:szCs w:val="22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ED4D2C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53633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632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8D1414E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pacing w:val="-2"/>
                <w:sz w:val="22"/>
                <w:szCs w:val="22"/>
              </w:rPr>
              <w:t>Общая проектная площадь, с учетом лоджии с коэффициентом, 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EC33F60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11C08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57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F6522F8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>Общая проектная площадь, без учета лоджии, 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5FB38D9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71B6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2B500A6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pacing w:val="-3"/>
                <w:sz w:val="22"/>
                <w:szCs w:val="22"/>
              </w:rPr>
              <w:t>Жилая проектная площадь,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4E6B4E7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04BF2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9C41095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z w:val="22"/>
                <w:szCs w:val="22"/>
              </w:rPr>
              <w:t>Этаж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1BCD83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44266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41F93B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A720B40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7DF41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1117AC1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69F079E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14:paraId="1E658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883534A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11F073E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08624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745C22F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A37591C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3DA19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65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A45624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кухни  (кухни-ниши) </w:t>
            </w:r>
            <w:r>
              <w:rPr>
                <w:sz w:val="21"/>
                <w:szCs w:val="21"/>
              </w:rPr>
              <w:t>(кухня-столовая),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789698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7EFBF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18FEB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санузла 1,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8F01FAD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14:paraId="10B44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2A85DAB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санузла 2,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01E2D1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70444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03FF5F2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прихожей,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0CB3F32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14:paraId="663A1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71C4A12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коридора 1,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3524551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455C6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DAF27F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коридора 2,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39C7C61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14:paraId="7BB50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5C22814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>
              <w:rPr>
                <w:sz w:val="22"/>
                <w:szCs w:val="22"/>
              </w:rPr>
              <w:t>Площадь лоджии (с коэф. 0,5),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4884B1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</w:tbl>
    <w:p w14:paraId="69E11E37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C511D96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План помещения указан в Приложении №1 к настоящему договору.</w:t>
      </w:r>
    </w:p>
    <w:p w14:paraId="4EE8FC20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Помещение будет передаваться с отделкой согласно паспорта отделки (Приложение №2 к настоящему договору).</w:t>
      </w:r>
    </w:p>
    <w:p w14:paraId="5B1D428C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14:paraId="11EB5316">
      <w:pPr>
        <w:pStyle w:val="22"/>
        <w:widowControl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 xml:space="preserve"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Доме, которое не может быть отчуждено или передано отдельно от права собственности на Помещение. 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Общее имущество –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помещения, не являющиеся частями квартир и предназначенные для обслуживания более одной квартиры в Доме, в которых располагаются:  </w:t>
      </w:r>
      <w:r>
        <w:rPr>
          <w:rFonts w:ascii="Times New Roman" w:hAnsi="Times New Roman" w:cs="Times New Roman"/>
          <w:bCs/>
          <w:spacing w:val="-1"/>
          <w:sz w:val="22"/>
          <w:szCs w:val="22"/>
        </w:rPr>
        <w:t>электрощитовая, тепловой  узел, водомерный узел, узел пожарной сигнализации, пожарный насос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или иное оборудование, а также крыша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, ограждающие несущие и ненесущие конструкции данного Дома, межквартирные лестничные площадки, лестницы</w:t>
      </w:r>
      <w:r>
        <w:rPr>
          <w:rFonts w:ascii="Times New Roman" w:hAnsi="Times New Roman" w:cs="Times New Roman"/>
          <w:sz w:val="22"/>
          <w:szCs w:val="22"/>
        </w:rPr>
        <w:t xml:space="preserve">, лифты, лифтовые </w:t>
      </w:r>
      <w:r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машинное отделение, внеквартирные коридоры, КУИ, воздушные зоны, тамбуры, подвал, технический этаж (чертеж),  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земельный участок, на котором расположен данный Дом, с элементами озеленения и благоустройства.</w:t>
      </w:r>
    </w:p>
    <w:p w14:paraId="5EC48D61">
      <w:pPr>
        <w:pStyle w:val="22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35709928">
      <w:pPr>
        <w:pStyle w:val="22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1.6.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3BB061FB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8ABBAD7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14:paraId="6F2BB015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14:paraId="7A0EF7B5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все гарантии, предусмотренные нормами действующего законодательства РФ.</w:t>
      </w:r>
    </w:p>
    <w:p w14:paraId="2B41D21E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17268A04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3C896903">
      <w:pPr>
        <w:pStyle w:val="22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Дома от 18.12.2023 г. № 42-24-54-2023,  выданным Администрацией города Кемерово, с изменениями от 12.02.2024 №13; с изменениями от 22.03.2024 № 26, с изменениями от 06.06.2024 № 69, с изменениями от 05.02.2026 №06-02-10/7-ИРС</w:t>
      </w:r>
    </w:p>
    <w:p w14:paraId="7E8E5C59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право аренды на Земельный участок, принадлежащий Застройщику на основании: </w:t>
      </w:r>
    </w:p>
    <w:p w14:paraId="3679AE61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договора аренды земельного участка №6 от 10.05.2023, дополнительного соглашения №1 от 18.01.2024 г. к договору аренды земельного участка №6 от 10.05.2023 , зарегистрированных в Управлении Федеральной службы государственной регистрации, кадастра и картографии по Кемеровской  области-Кузбассу 25.01.2024 г.  за номером 42:24:0501009:8153-42/074/2024-5; </w:t>
      </w:r>
    </w:p>
    <w:p w14:paraId="75239661">
      <w:pPr>
        <w:pStyle w:val="21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14:paraId="714CEA97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2.4. 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обеспечивается:</w:t>
      </w:r>
    </w:p>
    <w:p w14:paraId="2ED09DAA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</w:pPr>
      <w:r>
        <w:rPr>
          <w:sz w:val="22"/>
          <w:szCs w:val="22"/>
          <w:lang w:eastAsia="en-US"/>
        </w:rPr>
        <w:t xml:space="preserve">         2</w:t>
      </w:r>
      <w:r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  <w:t>.4.1. размещением денежных средств участников долевого строительства на счетах эскроу.</w:t>
      </w:r>
    </w:p>
    <w:p w14:paraId="524BD01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  <w:t xml:space="preserve">         2.5. На земельном участке с кадастровым номером </w:t>
      </w:r>
      <w:r>
        <w:rPr>
          <w:sz w:val="22"/>
          <w:szCs w:val="22"/>
        </w:rPr>
        <w:t xml:space="preserve">42:24:0501009:8153 </w:t>
      </w:r>
      <w:r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  <w:t>планируется строительство двух жилых домов.</w:t>
      </w:r>
    </w:p>
    <w:p w14:paraId="5FA4D9FE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  <w14:textFill>
            <w14:solidFill>
              <w14:schemeClr w14:val="tx1"/>
            </w14:solidFill>
          </w14:textFill>
        </w:rPr>
      </w:pPr>
    </w:p>
    <w:p w14:paraId="143D5183">
      <w:pPr>
        <w:pStyle w:val="22"/>
        <w:widowControl/>
        <w:numPr>
          <w:ilvl w:val="0"/>
          <w:numId w:val="3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14:paraId="0F6CBE66">
      <w:pPr>
        <w:pStyle w:val="22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 ____________</w:t>
      </w:r>
      <w:r>
        <w:rPr>
          <w:rFonts w:ascii="Times New Roman" w:hAnsi="Times New Roman" w:cs="Times New Roman"/>
          <w:b/>
          <w:bCs/>
          <w:sz w:val="22"/>
          <w:szCs w:val="22"/>
        </w:rPr>
        <w:t>(________________) рублей 00 копеек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, НДС не предусмотрен. </w:t>
      </w:r>
    </w:p>
    <w:p w14:paraId="59D0FE2F">
      <w:pPr>
        <w:pStyle w:val="22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 xml:space="preserve">3.2. Цена настоящего Договора является окончательной и может быть изменена 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только путем подписания Сторонами дополнительного соглашения к настоящему договору.</w:t>
      </w:r>
    </w:p>
    <w:p w14:paraId="41B43494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3.3 Допустимое изменение площади Помещения по настоящему договору составляет 5% (пять процентов) как в сторону увеличения, так и в сторону уменьшения площади Помещения. В случае изменения площади Помещения в пределах допустимого изменения площади, установленной настоящим договором, цена настоящего Договора изменению не подлежит. </w:t>
      </w:r>
    </w:p>
    <w:p w14:paraId="3951F3FF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>
        <w:rPr>
          <w:spacing w:val="-6"/>
          <w:sz w:val="22"/>
          <w:szCs w:val="22"/>
        </w:rPr>
        <w:t xml:space="preserve">3.4.  </w:t>
      </w:r>
      <w:r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>
        <w:rPr>
          <w:sz w:val="22"/>
          <w:szCs w:val="22"/>
        </w:rPr>
        <w:t xml:space="preserve"> долевого строительства Помещения (объекта долевого строительства), а </w:t>
      </w:r>
      <w:r>
        <w:rPr>
          <w:spacing w:val="-3"/>
          <w:sz w:val="22"/>
          <w:szCs w:val="22"/>
        </w:rPr>
        <w:t xml:space="preserve">также  затраты  </w:t>
      </w:r>
      <w:r>
        <w:rPr>
          <w:sz w:val="22"/>
          <w:szCs w:val="22"/>
        </w:rPr>
        <w:t xml:space="preserve">по целевому кредиту на строительство (создание) Дома, в том числе проценты и иные платежи, </w:t>
      </w:r>
      <w:r>
        <w:rPr>
          <w:spacing w:val="-3"/>
          <w:sz w:val="22"/>
          <w:szCs w:val="22"/>
        </w:rPr>
        <w:t xml:space="preserve"> затраты на оплату услуг Застройщика. </w:t>
      </w:r>
    </w:p>
    <w:p w14:paraId="180A5C80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передаче, остается в распоряжении Застройщика. Застройщик сохраняет право на получение полной цены Договора.</w:t>
      </w:r>
    </w:p>
    <w:p w14:paraId="608B4C53">
      <w:pPr>
        <w:pStyle w:val="22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AFC0456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14:paraId="113F3E92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4.1.   Участник долевого строительства обязуется внести денежные средства </w:t>
      </w:r>
      <w:r>
        <w:rPr>
          <w:rFonts w:ascii="Times New Roman" w:hAnsi="Times New Roman" w:cs="Times New Roman"/>
          <w:sz w:val="22"/>
          <w:szCs w:val="22"/>
        </w:rPr>
        <w:t xml:space="preserve">позднее _________(___________)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Кемеровской области-Кузбасс,  в счет уплаты цены настоящего Договора участия в долевом строительстве  жилья 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на специальный счет эскроу, открываемый  в банке (эскроу-агенте) по договору счета эскроу, заключаемому для учета и блокирования денежных средств, полученных банком от являющегося  владельцем счета Участника (депонента)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42502D06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Депонируемая сумма: __________ (______________) рублей 00 копеек, НДС не предусмотрен.</w:t>
      </w:r>
    </w:p>
    <w:p w14:paraId="18DC0BAF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Бенефициар: Общество с ограниченной ответственностью Специализированный застройщик «СДС-Финанс».</w:t>
      </w:r>
    </w:p>
    <w:p w14:paraId="4CB8FD82">
      <w:pPr>
        <w:pStyle w:val="22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Депонент: ____________________________.</w:t>
      </w:r>
    </w:p>
    <w:p w14:paraId="6FE24242">
      <w:pPr>
        <w:pStyle w:val="22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Уполномоченный банк (эскроу-агент):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Воронцовская, д.43, стр.1,  кор/счет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5614DC9B">
      <w:pPr>
        <w:pStyle w:val="22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Срок условного депонирования </w:t>
      </w:r>
      <w:r>
        <w:rPr>
          <w:rFonts w:ascii="Times New Roman" w:hAnsi="Times New Roman" w:cs="Times New Roman"/>
          <w:color w:val="222222"/>
          <w:sz w:val="22"/>
          <w:szCs w:val="22"/>
        </w:rPr>
        <w:t>16.12.2026 г.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единый для всех Участников долевого строительства. </w:t>
      </w:r>
    </w:p>
    <w:p w14:paraId="795FFF3F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Реквизиты расчетного счета Бенефициара, на который Банк ВТБ (ПАО) переводит денежные средства со счета эскроу при наступлении оснований, предусмотренных Договором счета эскроу: р/с 40702810012410001117  в  Банке ВТБ (ПАО),   кор/счет в ГУ Банка России по Центральному федеральному округу 30101810145250000411, К/с  БИК 044525411. </w:t>
      </w:r>
    </w:p>
    <w:p w14:paraId="72D00507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Объект долевого строительства, подлежащее передаче Участнику долевого строительства, указано в п. 1.4. настоящего Договора. </w:t>
      </w:r>
    </w:p>
    <w:p w14:paraId="315DC22C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№214-ФЗ  «Об участии в долевом строительстве многоквартирных домов и иных объектов недвижимости»</w:t>
      </w:r>
    </w:p>
    <w:p w14:paraId="74EEE9B9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Бенефициар и Депонент предлагают (адресуют оферту) Банку ВТБ (ПАО) заключить трехсторонний Договор счета эскроу на условиях Правил совершения операций по счетам эскроу физических лиц в Банке 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Правила).</w:t>
      </w:r>
    </w:p>
    <w:p w14:paraId="0C8952F3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эскроу. </w:t>
      </w:r>
    </w:p>
    <w:p w14:paraId="0B3FE7C2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4.2.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2DAAA8C9">
      <w:pPr>
        <w:pStyle w:val="22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4.3. Проценты на сумму денежных средств, находящихся на счете эскроу, не начисляются. Вознаграждение уполномоченному банку, являющемуся эскроу-агентом по счету эскроу, не выплачивается.</w:t>
      </w:r>
    </w:p>
    <w:p w14:paraId="071A006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Настоящим Участник долевого строительства подтверждает, что не позднее 1 (одного) рабочего дня с момента подписания настоящего Договора  предоставит в Банк ВТБ (ПАО) 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эскроу. </w:t>
      </w:r>
    </w:p>
    <w:p w14:paraId="0B8E8A60">
      <w:pPr>
        <w:jc w:val="center"/>
        <w:rPr>
          <w:b/>
          <w:sz w:val="22"/>
          <w:szCs w:val="22"/>
        </w:rPr>
      </w:pPr>
    </w:p>
    <w:p w14:paraId="765F2A43">
      <w:pPr>
        <w:pStyle w:val="21"/>
        <w:numPr>
          <w:ilvl w:val="0"/>
          <w:numId w:val="3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ЗАСТРОЙЩИКА</w:t>
      </w:r>
    </w:p>
    <w:p w14:paraId="3BE53EAE">
      <w:pPr>
        <w:pStyle w:val="22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14:paraId="64A27A3E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5.1. Осуществить подачу настоящего договора в регистрационный орган для государственной регистрации настоящего договора.</w:t>
      </w:r>
    </w:p>
    <w:p w14:paraId="48387EFB">
      <w:pPr>
        <w:pStyle w:val="22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>5.2. В течение 10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(десяти)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3A6C3096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Помещение в нем) и его ввода в эксплуатацию в установленном законодательством РФ порядке.</w:t>
      </w:r>
    </w:p>
    <w:p w14:paraId="6390B651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5.4.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41AF3ABC">
      <w:pPr>
        <w:pStyle w:val="22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5.5. Завершить строительство Дома и ввести его в эксплуатацию в срок не позднее 18.06.2026.</w:t>
      </w:r>
    </w:p>
    <w:p w14:paraId="7A6D1B0E">
      <w:pPr>
        <w:pStyle w:val="22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5.6. Передать Участнику долевого строительства Помещение </w:t>
      </w:r>
      <w:r>
        <w:rPr>
          <w:rFonts w:ascii="Times New Roman" w:hAnsi="Times New Roman" w:cs="Times New Roman"/>
          <w:b/>
          <w:color w:val="222222"/>
          <w:sz w:val="22"/>
          <w:szCs w:val="22"/>
        </w:rPr>
        <w:t>до 31.12.2026 (включительно)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46B3E358">
      <w:pPr>
        <w:pStyle w:val="22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5.7. Передача Помещения осуществляется  в порядке, установленном разделом 7 настоящего Договора</w:t>
      </w:r>
      <w:r>
        <w:rPr>
          <w:rFonts w:ascii="Times New Roman" w:hAnsi="Times New Roman" w:cs="Times New Roman"/>
          <w:b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Помещения досрочно,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7E257929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5.8. 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7EA6240F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C2518E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14:paraId="27BF830A">
      <w:pPr>
        <w:pStyle w:val="22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14:paraId="7912D0ED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61E5FA13">
      <w:pPr>
        <w:pStyle w:val="22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>6.2. В течение 10</w:t>
      </w: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(десяти) рабочих дней с момента подписания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4EB78CFC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6.3.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72A87077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6.4. Самостоятельно и за свой счет оформить техническую документацию на Помещение, осуществить государственную регистрацию права собственности на переданное Помещение в уполномоченном органе. Расходы на государственную регистрацию права собственности Участника долевого строительства на Помещение в цену настоящего Договора не включаются.</w:t>
      </w:r>
    </w:p>
    <w:p w14:paraId="42EF8C07">
      <w:pPr>
        <w:pStyle w:val="22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6.5. 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7ADBB9B0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6.6. Обязательства Участника долевого 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5A6F8A46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6.7. Подписывая настоящий договор, Участник долевого строительства дает согласие на передачу в  ипотеку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3C8BFFB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; любого земельного участка, образованного из земельного участка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. </w:t>
      </w:r>
    </w:p>
    <w:p w14:paraId="61DEABA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>
        <w:rPr>
          <w:color w:val="222222"/>
          <w:sz w:val="22"/>
          <w:szCs w:val="22"/>
        </w:rPr>
        <w:t>42:24:0501009:8153</w:t>
      </w:r>
      <w:r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>
        <w:rPr>
          <w:color w:val="222222"/>
          <w:sz w:val="22"/>
          <w:szCs w:val="22"/>
        </w:rPr>
        <w:t xml:space="preserve">42:24:0501009:8153 </w:t>
      </w:r>
      <w:r>
        <w:rPr>
          <w:sz w:val="22"/>
          <w:szCs w:val="22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366D30FE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Также Участник долевого строительства дает согласие, на передачу в муниципальную собственность/собственность ресурсоснабжающих организаций/ собственность третьим лицам инженерных сетей (оборудования), предназначенных для обслуживания Дома  не являющихся общим имуществом.</w:t>
      </w:r>
    </w:p>
    <w:p w14:paraId="15FD40A4">
      <w:pPr>
        <w:pStyle w:val="22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14:paraId="68128038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6.8. Подписывая настоящий договор,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законодательством порядке. Участник долевого строительства обязуется нести все расходы по содержанию, эксплуатации Помещения и мест общего пользования жилого дома, с момента подписания передаточного акта на Помещение.</w:t>
      </w:r>
    </w:p>
    <w:p w14:paraId="2E1C6F3F">
      <w:pPr>
        <w:pStyle w:val="22"/>
        <w:widowControl/>
        <w:ind w:firstLine="540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sz w:val="22"/>
          <w:szCs w:val="22"/>
          <w:lang w:val="ru-RU"/>
        </w:rPr>
        <w:t>6.9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ru-RU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Настоящим Участник долевого строительства дает согласие Застройщику на внесение изменений в проектную и разрешительную документацию Дома в отношении помещений в Доме, предназначенных для обслуживания более одного помещения в Доме, и необходимых для удовлетворения социально-бытовых потребностей в Доме, за исключением изменений, касающихся Помещений, принадлежащих отдельным Участникам долевого строительства,  а также в части архитектурного облика Дома (при условии, что такие изменения не ухудшают качество Помещения).  Под проектной документацией Стороны понимают всю документацию в соответствии со статьёй 48 Градостроительного кодекса РФ, оформленную на момент заключения Договора, а также в период его действия. О фактах внесения изменений в проектную документацию Застройщик информирует Участника долевого строительства путем размещения данной информации в Единой информационной системе жилищного строительства на сайте: 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/>
          <w14:textFill>
            <w14:solidFill>
              <w14:schemeClr w14:val="tx1"/>
            </w14:solidFill>
          </w14:textFill>
        </w:rPr>
        <w:t>https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://наш.дом.рф.</w:t>
      </w:r>
    </w:p>
    <w:p w14:paraId="0F7C87D0">
      <w:pPr>
        <w:pStyle w:val="22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0DA6CF63">
      <w:pPr>
        <w:pStyle w:val="22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7C6613D1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ПОРЯДОК ПЕРЕДАЧИ ПОМЕЩЕНИЯ</w:t>
      </w:r>
    </w:p>
    <w:p w14:paraId="73132139">
      <w:pPr>
        <w:pStyle w:val="22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14:paraId="3FEE81EA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7.1. Передача Помещения Застройщиком и принятие его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3BFAD1B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7.2. </w:t>
      </w:r>
      <w:r>
        <w:rPr>
          <w:sz w:val="22"/>
          <w:szCs w:val="22"/>
        </w:rPr>
        <w:t xml:space="preserve">Застройщик обязуется письменно сообщить Участнику долевого строительства о завершении строительства Дома и готовности Помещения к передаче, </w:t>
      </w:r>
      <w:r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Помещения и о последствиях бездействия Участника долевого строительства, предусмотренных законом</w:t>
      </w:r>
      <w:r>
        <w:rPr>
          <w:b/>
          <w:sz w:val="22"/>
          <w:szCs w:val="22"/>
        </w:rPr>
        <w:t xml:space="preserve">. </w:t>
      </w:r>
      <w:r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204D106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Помещения в течение 5 (пяти) рабочих дней со дня получения указанного сообщения. При отсутствии обоснованных претензий к  качеству Помещения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477C44D2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При уклонении Участника долевого строительства от принятия Помещения или при необоснованном отказе Участника долевого строительства от принятия Помещения Застройщик по </w:t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истечении двух месяцев  с даты получения Участником долевого строительства сообщения Застройщика,</w:t>
      </w:r>
      <w:r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Помещения.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Помещения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Помещения признается перешедшим к Участнику долевого строительства со дня составления одностороннего акта о передаче Помещения. </w:t>
      </w:r>
    </w:p>
    <w:p w14:paraId="0569059C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14:paraId="2908D291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8.1. Качество Помещения, которое будет передано Застройщиком Участнику долевого строительства по настоящему Договору, должно соответствовать требованиям проектной документации, техническим и градостроительным регламентам, а также иным обязательным требованиям.</w:t>
      </w:r>
    </w:p>
    <w:p w14:paraId="44057693">
      <w:pPr>
        <w:pStyle w:val="22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8.2. Гарантийный срок на подлежащее передаче Помещение устанавливается 3 (три) года. </w:t>
      </w:r>
      <w:r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>
        <w:rPr>
          <w:rFonts w:ascii="Times New Roman" w:hAnsi="Times New Roman" w:cs="Times New Roman"/>
          <w:sz w:val="22"/>
          <w:szCs w:val="22"/>
        </w:rPr>
        <w:t>с момента подписания передаточного акта</w:t>
      </w:r>
      <w:r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14:paraId="20A2AF6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>
        <w:rPr>
          <w:spacing w:val="9"/>
          <w:sz w:val="22"/>
          <w:szCs w:val="22"/>
        </w:rPr>
        <w:t xml:space="preserve">гарантийный срок исчисляется </w:t>
      </w:r>
      <w:r>
        <w:rPr>
          <w:sz w:val="22"/>
          <w:szCs w:val="22"/>
        </w:rPr>
        <w:t>с момента подписания первого передаточного акта.</w:t>
      </w:r>
      <w:bookmarkStart w:id="5" w:name="_GoBack"/>
      <w:bookmarkEnd w:id="5"/>
    </w:p>
    <w:p w14:paraId="3353C48B">
      <w:pPr>
        <w:autoSpaceDE w:val="0"/>
        <w:autoSpaceDN w:val="0"/>
        <w:adjustRightInd w:val="0"/>
        <w:ind w:firstLine="54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При наличии в Помещении любого вида отделки, за исключением «Черновой», гарантийный срок на элементы отделки и на результат производства отделочных работ согласно Паспорту Помещения (Приложение №2 к настоящему Договору) составляет 1 (один) год с момента подписания передаточного акта.</w:t>
      </w:r>
    </w:p>
    <w:p w14:paraId="10B90937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8.3.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25A33EC4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В случае, если Дом или переданное Участнику долевого строительства Помещение построены (созданы) Застройщиком с отступлениями от условий договора и (или) указанных в пункте 8.1. Договора обязательных требований, приведшими к ухудшению его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02ABADD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1) безвозмездного устранения недостатков в разумный срок;</w:t>
      </w:r>
    </w:p>
    <w:p w14:paraId="0F39285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2) возмещения своих расходов на устранение недостатков;</w:t>
      </w:r>
    </w:p>
    <w:p w14:paraId="1ECDBD9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3) соразмерного уменьшения цены договора.</w:t>
      </w:r>
    </w:p>
    <w:p w14:paraId="509A1D49">
      <w:pPr>
        <w:autoSpaceDE w:val="0"/>
        <w:autoSpaceDN w:val="0"/>
        <w:adjustRightInd w:val="0"/>
        <w:ind w:firstLine="540"/>
        <w:jc w:val="both"/>
        <w:rPr>
          <w:rFonts w:hint="default"/>
          <w:color w:val="000000" w:themeColor="text1"/>
          <w:sz w:val="22"/>
          <w:szCs w:val="22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/>
          <w:sz w:val="22"/>
          <w:szCs w:val="22"/>
          <w:lang w:val="ru-RU"/>
        </w:rPr>
        <w:t>8.5.</w:t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Участник долевого строительства согласен, что Застройщик не несет ответственности за недостатки Помещения, возникшие вследствие нормального и естественного износа (в т.ч. усадка и осадки Дома в рамках предельных проектных-прогнозируемых параметров), нарушения обязательных требований к процессу эксплуатации Помещения, либо вследствие ненадлежащего ремонта Помещения, проведенного Участником долевого строительства (привлеченным им третьем лицом). Участник долевого строительства согласен, что в   случае не предоставления Застройщику (его сотрудникам, подрядчикам) доступа в Помещение для устранения выявленных недостатков или для составления акта осмотра у Участника долевого строительства  отсутствуют основания для предъявления  Застройщику неустойки и штрафы по недостаткам, которые Застройщик не мог осмотреть и устранить в добровольном порядке ввиду отказа Участника долевого строительства предоставить доступ в Помещение или по причине бездействия Участника долевого строительства, в т.ч. в части предоставления доступа в Помещение.</w:t>
      </w:r>
    </w:p>
    <w:p w14:paraId="55EFBF48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8A18CA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14:paraId="71E5E7A1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9.1. 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1BF3FB0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79F333C1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021573FE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0C0F9AF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4DB79D7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14:paraId="1821AD0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5EF6B96E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3A34A866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9.5. При наступлении оснований для возврата Участнику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112D1910">
      <w:pPr>
        <w:pStyle w:val="22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A2743A5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14:paraId="1F5AD9B3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7B5E69D0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700E3CD5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6D40A359">
      <w:pPr>
        <w:pStyle w:val="22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14:paraId="63C783CB">
      <w:pPr>
        <w:pStyle w:val="21"/>
        <w:widowControl w:val="0"/>
        <w:numPr>
          <w:ilvl w:val="1"/>
          <w:numId w:val="4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14:paraId="7817E353">
      <w:pPr>
        <w:pStyle w:val="21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4778EC86">
      <w:pPr>
        <w:pStyle w:val="21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14:paraId="0516B6D0">
      <w:pPr>
        <w:pStyle w:val="21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14:paraId="536FECC7">
      <w:pPr>
        <w:pStyle w:val="21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>
        <w:rPr>
          <w:spacing w:val="-1"/>
          <w:sz w:val="22"/>
          <w:szCs w:val="22"/>
        </w:rPr>
        <w:t>настоящего Договора не применяется в случаях, отличных от описанного в настоящем пункте.</w:t>
      </w:r>
    </w:p>
    <w:p w14:paraId="07DB765F">
      <w:pPr>
        <w:pStyle w:val="21"/>
        <w:numPr>
          <w:ilvl w:val="0"/>
          <w:numId w:val="6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14:paraId="0958D97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309B00CC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Стороны под целями, связанными с исполнением настоящего договора понимают следующее:</w:t>
      </w:r>
    </w:p>
    <w:p w14:paraId="457A5ACA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для проведения опросов и исследований, направленных на улучшение качества работы Застройщика;</w:t>
      </w:r>
    </w:p>
    <w:p w14:paraId="01F9D89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для проведения маркетинговых программ;</w:t>
      </w:r>
    </w:p>
    <w:p w14:paraId="68F5FCB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для проведения статистических исследований;</w:t>
      </w:r>
    </w:p>
    <w:p w14:paraId="3FEC70EA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6CB4A49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для передачи компетентным органам, в случаях предусмотренных действующим законодательством РФ;</w:t>
      </w:r>
    </w:p>
    <w:p w14:paraId="691AF7B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14:paraId="4A9D1C0A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14:paraId="0849843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14:paraId="076166D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осуществляющей открытие счета эскроу (Банк);</w:t>
      </w:r>
    </w:p>
    <w:p w14:paraId="3EB2A5BD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оказывающей коммунальные и эксплуатационные услуги;</w:t>
      </w:r>
    </w:p>
    <w:p w14:paraId="668D0B8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являющейся оператором фискальных данных (АО «Производственная фирма «СКБ Контур» или иное);</w:t>
      </w:r>
    </w:p>
    <w:p w14:paraId="4BFFA8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оказывающей услуги доставки корреспонденции;</w:t>
      </w:r>
    </w:p>
    <w:p w14:paraId="29E4F09E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органу, осуществляющему регистрационные действия;</w:t>
      </w:r>
    </w:p>
    <w:p w14:paraId="4EEF9E7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и др.</w:t>
      </w:r>
    </w:p>
    <w:p w14:paraId="599DFBA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1CCB8AF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479EC4AD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14:paraId="30EBFB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6816E27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50FA0A1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236172DD">
      <w:pPr>
        <w:pStyle w:val="22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14:paraId="6C805AB4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13.1. Во всем остальном, что не предусмотрено настоящим Договором, Стороны руководствуются </w:t>
      </w:r>
      <w:r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14:paraId="1324A41A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13.2. Стороны будут разрешать возникающие между ними споры и разногласия путем переговоров.</w:t>
      </w:r>
    </w:p>
    <w:p w14:paraId="7FB844E5">
      <w:pPr>
        <w:pStyle w:val="13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13.3. При неурегулировании в процессе переговоров, все споры, возникающие между Сторонами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Застройщик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5B380205">
      <w:pPr>
        <w:pStyle w:val="22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2"/>
          <w:szCs w:val="22"/>
        </w:rPr>
        <w:t>13.4. Условия настоящего Договора и дополнительных соглашений к нему конфиденциальны и не подлежат разглашению.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0EB26B56">
      <w:pPr>
        <w:ind w:firstLine="540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13.5. Стороны обязаны извещать друг друга об изменении своих данных: наименования,</w:t>
      </w:r>
      <w:r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6DCC7CD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13.6.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58DDF93A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15 настоящего Договора, и регистрации их в качестве входящей корреспонденции Застройщика с присвоением входящего номера. </w:t>
      </w:r>
    </w:p>
    <w:p w14:paraId="56AF1E0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Участник долевого строительства подтверждает, что адрес, указанный в разделе 15 настоящего Договора, является единственным адресом получения Участником долевого строительства почтовой корреспонденции, ответственность за надлежащий адрес получателя лежит на Участнике долевого строительства.</w:t>
      </w:r>
    </w:p>
    <w:p w14:paraId="171FEB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13.7. Недействительность какого-либо из условий настоящего Договора не влечет недействительности прочих его условий.</w:t>
      </w:r>
    </w:p>
    <w:p w14:paraId="3E93C7DD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13.8.Стороны подтверждают, что положения пункта 4.1. настоящего Договора являются совместной офертой Застройщика и Участника долевого строительства, адресованной Банк ВТБ «ПАО» в целях заключения Договора счета эскроу в соответствии с Общими условиями открытия и обслуживания счета эскроу», размещенными Банк ВТБ «ПАО» на официальном сайте </w:t>
      </w:r>
      <w:r>
        <w:rPr>
          <w:rFonts w:ascii="Times New Roman" w:hAnsi="Times New Roman" w:cs="Times New Roman"/>
          <w:sz w:val="22"/>
          <w:szCs w:val="22"/>
          <w:lang w:val="en-US"/>
        </w:rPr>
        <w:t>www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en-US"/>
        </w:rPr>
        <w:t>vtb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en-US"/>
        </w:rPr>
        <w:t>ru</w:t>
      </w:r>
      <w:r>
        <w:rPr>
          <w:rFonts w:ascii="Times New Roman" w:hAnsi="Times New Roman" w:cs="Times New Roman"/>
          <w:sz w:val="22"/>
          <w:szCs w:val="22"/>
        </w:rPr>
        <w:t xml:space="preserve"> в сети Интернет, а также в подразделениях Банк ВТБ «ПАО», в которых осуществляется открытие счета эскроу, в доступном для размещения месте.</w:t>
      </w:r>
    </w:p>
    <w:p w14:paraId="466734AA">
      <w:pPr>
        <w:ind w:firstLine="567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13.9. Подписывая настоящий Договор Стороны подтверждают, что уведомлены и согласны с тем, что  Договор счета эскроу считается заключенным с момента открытия Банк ВТБ «ПАО» счета эскроу, о чем они будут уведомлены в порядке, установленном Общими условиями открытия и обслуживания счета эскроу.</w:t>
      </w:r>
    </w:p>
    <w:p w14:paraId="005C2D43">
      <w:pPr>
        <w:pStyle w:val="22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13.10. Настоящий Договор составлен в 3-х экземплярах, имеющих равную юридическую силу, один  -  для Участника долевого строительства,    два –  для Застройщика (один из которых передается в Банк (эскроу-агент).</w:t>
      </w:r>
    </w:p>
    <w:p w14:paraId="6B410C19">
      <w:pPr>
        <w:pStyle w:val="22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14:paraId="397A1418">
      <w:pPr>
        <w:pStyle w:val="22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14:paraId="1B61AC12">
      <w:pPr>
        <w:pStyle w:val="22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Приложение № 1– План подлежащего передаче Помещения.</w:t>
      </w:r>
    </w:p>
    <w:p w14:paraId="0D12EFBB">
      <w:pPr>
        <w:pStyle w:val="20"/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2 – Паспорт  отделки Помещения. </w:t>
      </w:r>
    </w:p>
    <w:p w14:paraId="2A838D76">
      <w:pPr>
        <w:pStyle w:val="22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14:paraId="13D6A80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15.1. Застройщик</w:t>
      </w:r>
      <w:r>
        <w:rPr>
          <w:sz w:val="22"/>
          <w:szCs w:val="22"/>
        </w:rPr>
        <w:t xml:space="preserve">: </w:t>
      </w:r>
    </w:p>
    <w:p w14:paraId="2CF81AC9">
      <w:pPr>
        <w:tabs>
          <w:tab w:val="left" w:pos="709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ООО СЗ «СДС-Финанс», </w:t>
      </w:r>
      <w:r>
        <w:rPr>
          <w:sz w:val="22"/>
          <w:szCs w:val="22"/>
        </w:rPr>
        <w:t xml:space="preserve">650992, Кемеровская область, г. Кемерово, ул. Весенняя, дом 5, помещение 45, ИНН/КПП 4205096445/420501001, ОГРН 1054205257204. </w:t>
      </w:r>
    </w:p>
    <w:p w14:paraId="4528647D">
      <w:pPr>
        <w:ind w:left="-993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</w:p>
    <w:p w14:paraId="39A3F696">
      <w:pPr>
        <w:ind w:left="-993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  <w:lang w:val="en-US"/>
        </w:rPr>
        <w:t xml:space="preserve">15.2. </w:t>
      </w:r>
      <w:r>
        <w:rPr>
          <w:b/>
          <w:sz w:val="22"/>
          <w:szCs w:val="22"/>
        </w:rPr>
        <w:t>Участник долевого</w:t>
      </w:r>
      <w:r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</w:rPr>
        <w:t>строительства</w:t>
      </w:r>
      <w:r>
        <w:rPr>
          <w:b/>
          <w:sz w:val="22"/>
          <w:szCs w:val="22"/>
          <w:lang w:val="en-US"/>
        </w:rPr>
        <w:t>: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 </w:t>
      </w: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1"/>
      </w:tblGrid>
      <w:tr w14:paraId="0E709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0" w:type="dxa"/>
          </w:tcPr>
          <w:p w14:paraId="6237B6E6">
            <w:pPr>
              <w:pStyle w:val="52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14:paraId="05D43BA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СТОРОН:</w:t>
      </w:r>
    </w:p>
    <w:p w14:paraId="3A006A9A">
      <w:pPr>
        <w:ind w:right="-5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3D066AFD">
      <w:pPr>
        <w:pStyle w:val="52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Договоре,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42C63DB0">
      <w:pPr>
        <w:spacing w:line="276" w:lineRule="auto"/>
        <w:jc w:val="both"/>
        <w:rPr>
          <w:b/>
          <w:sz w:val="22"/>
          <w:szCs w:val="22"/>
        </w:rPr>
      </w:pPr>
      <w:bookmarkStart w:id="0" w:name="_Hlk35871540"/>
      <w:r>
        <w:rPr>
          <w:b/>
          <w:sz w:val="22"/>
          <w:szCs w:val="22"/>
        </w:rPr>
        <w:t>От имени ЗАСТРОЙЩИКА:</w:t>
      </w:r>
    </w:p>
    <w:p w14:paraId="4A39658C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_____________________________________/______________________/</w:t>
      </w:r>
    </w:p>
    <w:p w14:paraId="16F9992F">
      <w:pPr>
        <w:spacing w:line="276" w:lineRule="auto"/>
        <w:jc w:val="both"/>
        <w:rPr>
          <w:b/>
          <w:sz w:val="22"/>
          <w:szCs w:val="22"/>
        </w:rPr>
      </w:pP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5"/>
      </w:tblGrid>
      <w:tr w14:paraId="29F9F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0055" w:type="dxa"/>
          </w:tcPr>
          <w:p w14:paraId="00765414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УЧАСТНИК ДОЛЕВОГО СТРОИТЕЛЬСТВА:</w:t>
            </w:r>
            <w:r>
              <w:rPr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Тестовый П.П.</w:t>
            </w:r>
          </w:p>
          <w:p w14:paraId="568438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298B24D2">
            <w:pPr>
              <w:pStyle w:val="52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___________________________________________________________________________/_____________/</w:t>
            </w:r>
          </w:p>
          <w:p w14:paraId="3CC9EF9C">
            <w:pPr>
              <w:pStyle w:val="52"/>
              <w:widowControl/>
              <w:ind w:right="0"/>
              <w:jc w:val="center"/>
              <w:rPr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(Ф.И.О. полностью)                                                                                  подпись</w:t>
            </w:r>
          </w:p>
        </w:tc>
      </w:tr>
      <w:bookmarkEnd w:id="0"/>
    </w:tbl>
    <w:p w14:paraId="75B1F11E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</w:p>
    <w:p w14:paraId="467BFCE4">
      <w:pPr>
        <w:pStyle w:val="24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bookmarkStart w:id="1" w:name="_Hlk35871553"/>
      <w:r>
        <w:rPr>
          <w:rFonts w:ascii="Times New Roman" w:hAnsi="Times New Roman" w:cs="Times New Roman"/>
          <w:b w:val="0"/>
          <w:sz w:val="22"/>
          <w:szCs w:val="22"/>
        </w:rPr>
        <w:t>______</w:t>
      </w:r>
    </w:p>
    <w:p w14:paraId="1DA18D5F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1"/>
      <w:r>
        <w:rPr>
          <w:sz w:val="22"/>
          <w:szCs w:val="22"/>
        </w:rPr>
        <w:t>_________20_____ г.</w:t>
      </w:r>
    </w:p>
    <w:p w14:paraId="59B9477B">
      <w:pPr>
        <w:ind w:left="4140"/>
        <w:rPr>
          <w:sz w:val="22"/>
          <w:szCs w:val="22"/>
        </w:rPr>
      </w:pPr>
    </w:p>
    <w:p w14:paraId="33F82EF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подлежащего передаче Помещения</w:t>
      </w:r>
    </w:p>
    <w:p w14:paraId="532DDE0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Кемеровская область- Кузбасс, город Кемерово, Центральный район, микрорайон №7Б,</w:t>
      </w:r>
    </w:p>
    <w:p w14:paraId="21AB331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Жилой дом №  </w:t>
      </w:r>
      <w:bookmarkStart w:id="2" w:name="_Hlk35871592"/>
      <w:r>
        <w:rPr>
          <w:b/>
          <w:sz w:val="22"/>
          <w:szCs w:val="22"/>
        </w:rPr>
        <w:t>30А</w:t>
      </w:r>
      <w:bookmarkEnd w:id="2"/>
      <w:r>
        <w:rPr>
          <w:b/>
          <w:sz w:val="22"/>
          <w:szCs w:val="22"/>
        </w:rPr>
        <w:t xml:space="preserve"> (строительный),</w:t>
      </w:r>
    </w:p>
    <w:p w14:paraId="3FD2F76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Подъезд  _____ Квартира № _____  </w:t>
      </w:r>
      <w:bookmarkStart w:id="3" w:name="_Hlk35871618"/>
      <w:r>
        <w:rPr>
          <w:b/>
          <w:sz w:val="22"/>
          <w:szCs w:val="22"/>
        </w:rPr>
        <w:t>(_____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этаж)</w:t>
      </w:r>
      <w:bookmarkEnd w:id="3"/>
    </w:p>
    <w:p w14:paraId="1B6B1227">
      <w:pPr>
        <w:jc w:val="center"/>
        <w:rPr>
          <w:b/>
          <w:sz w:val="22"/>
          <w:szCs w:val="22"/>
        </w:rPr>
      </w:pPr>
    </w:p>
    <w:p w14:paraId="75A417D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этажа</w:t>
      </w:r>
    </w:p>
    <w:p w14:paraId="333288D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34B95B5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45F1859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4" w:name="_Hlk35871623"/>
    </w:p>
    <w:bookmarkEnd w:id="4"/>
    <w:p w14:paraId="5D9E2CFF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18310F40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2D22D13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Помещения № _____</w:t>
      </w:r>
    </w:p>
    <w:p w14:paraId="2BC0B89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1B77617D">
      <w:pPr>
        <w:jc w:val="center"/>
        <w:rPr>
          <w:sz w:val="22"/>
          <w:szCs w:val="22"/>
        </w:rPr>
      </w:pPr>
    </w:p>
    <w:p w14:paraId="4DE3B4F4">
      <w:pPr>
        <w:jc w:val="center"/>
        <w:rPr>
          <w:sz w:val="22"/>
          <w:szCs w:val="22"/>
        </w:rPr>
      </w:pPr>
    </w:p>
    <w:p w14:paraId="33A1C57D">
      <w:pPr>
        <w:jc w:val="center"/>
        <w:rPr>
          <w:sz w:val="22"/>
          <w:szCs w:val="22"/>
        </w:rPr>
      </w:pPr>
    </w:p>
    <w:p w14:paraId="602225DF">
      <w:pPr>
        <w:jc w:val="center"/>
        <w:rPr>
          <w:sz w:val="22"/>
          <w:szCs w:val="22"/>
        </w:rPr>
      </w:pPr>
    </w:p>
    <w:p w14:paraId="1913D792">
      <w:pPr>
        <w:jc w:val="center"/>
        <w:rPr>
          <w:sz w:val="22"/>
          <w:szCs w:val="22"/>
        </w:rPr>
      </w:pPr>
      <w:r>
        <w:rPr>
          <w:sz w:val="22"/>
          <w:szCs w:val="22"/>
        </w:rPr>
        <w:t>ПРИМЕЧАНИЕ:</w:t>
      </w:r>
    </w:p>
    <w:p w14:paraId="2941C3AC">
      <w:pPr>
        <w:pStyle w:val="21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5AFC69D6">
      <w:pPr>
        <w:pStyle w:val="21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2075141B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14:paraId="46910FB9">
      <w:pPr>
        <w:jc w:val="both"/>
        <w:rPr>
          <w:sz w:val="22"/>
          <w:szCs w:val="22"/>
        </w:rPr>
      </w:pP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9"/>
        <w:gridCol w:w="5212"/>
      </w:tblGrid>
      <w:tr w14:paraId="013F1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20" w:type="dxa"/>
          </w:tcPr>
          <w:p w14:paraId="461503B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2F3CB00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имени ЗАСТРОЙЩИКА:</w:t>
            </w:r>
          </w:p>
          <w:p w14:paraId="463A55AF">
            <w:pPr>
              <w:jc w:val="both"/>
              <w:rPr>
                <w:b/>
                <w:sz w:val="22"/>
                <w:szCs w:val="22"/>
              </w:rPr>
            </w:pPr>
          </w:p>
          <w:p w14:paraId="46F6038C">
            <w:pPr>
              <w:jc w:val="both"/>
              <w:rPr>
                <w:b/>
                <w:sz w:val="22"/>
                <w:szCs w:val="22"/>
              </w:rPr>
            </w:pPr>
          </w:p>
          <w:p w14:paraId="66F2FE0E">
            <w:pPr>
              <w:jc w:val="both"/>
              <w:rPr>
                <w:b/>
                <w:sz w:val="22"/>
                <w:szCs w:val="22"/>
              </w:rPr>
            </w:pPr>
          </w:p>
          <w:p w14:paraId="1309440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__________________________/_________________/</w:t>
            </w:r>
          </w:p>
          <w:p w14:paraId="65831AA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71A16FC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16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78"/>
            </w:tblGrid>
            <w:tr w14:paraId="456BDBD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4978" w:type="dxa"/>
                </w:tcPr>
                <w:p w14:paraId="5949DE3D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01DFA5CD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BE86291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1D1A3E41">
                  <w:pPr>
                    <w:pStyle w:val="52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_____________________/______________/</w:t>
                  </w:r>
                </w:p>
                <w:p w14:paraId="12D30B79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55DE0B3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42603E34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D68AFD9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642F0381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7AA651FD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9A446DA">
      <w:pPr>
        <w:tabs>
          <w:tab w:val="left" w:pos="5954"/>
        </w:tabs>
        <w:rPr>
          <w:sz w:val="22"/>
          <w:szCs w:val="22"/>
        </w:rPr>
      </w:pPr>
    </w:p>
    <w:p w14:paraId="0E3F016D">
      <w:pPr>
        <w:tabs>
          <w:tab w:val="left" w:pos="5954"/>
        </w:tabs>
        <w:rPr>
          <w:sz w:val="22"/>
          <w:szCs w:val="22"/>
        </w:rPr>
      </w:pPr>
    </w:p>
    <w:p w14:paraId="2226591D">
      <w:pPr>
        <w:pStyle w:val="20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  <w14:textFill>
            <w14:solidFill>
              <w14:schemeClr w14:val="tx1"/>
            </w14:solidFill>
          </w14:textFill>
        </w:rPr>
      </w:pPr>
    </w:p>
    <w:p w14:paraId="34356EF3">
      <w:pPr>
        <w:rPr>
          <w:b/>
          <w:sz w:val="22"/>
          <w:szCs w:val="22"/>
        </w:rPr>
      </w:pPr>
    </w:p>
    <w:p w14:paraId="00EE29B6">
      <w:pPr>
        <w:rPr>
          <w:b/>
          <w:sz w:val="22"/>
          <w:szCs w:val="22"/>
        </w:rPr>
      </w:pPr>
    </w:p>
    <w:p w14:paraId="4BC2DEE4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2</w:t>
      </w:r>
    </w:p>
    <w:p w14:paraId="0DEDBE61">
      <w:pPr>
        <w:pStyle w:val="24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r>
        <w:rPr>
          <w:rFonts w:ascii="Times New Roman" w:hAnsi="Times New Roman" w:cs="Times New Roman"/>
          <w:bCs w:val="0"/>
          <w:sz w:val="22"/>
          <w:szCs w:val="22"/>
        </w:rPr>
        <w:t>______</w:t>
      </w:r>
    </w:p>
    <w:p w14:paraId="74AD3D3E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>участия в долевом  строительстве  многоквартирного дома от  _________20_____ г.</w:t>
      </w:r>
    </w:p>
    <w:p w14:paraId="35136198">
      <w:pPr>
        <w:tabs>
          <w:tab w:val="left" w:pos="5954"/>
        </w:tabs>
        <w:rPr>
          <w:sz w:val="22"/>
          <w:szCs w:val="22"/>
        </w:rPr>
      </w:pPr>
    </w:p>
    <w:p w14:paraId="4393D79D">
      <w:pPr>
        <w:tabs>
          <w:tab w:val="left" w:pos="5954"/>
        </w:tabs>
        <w:rPr>
          <w:sz w:val="22"/>
          <w:szCs w:val="22"/>
        </w:rPr>
      </w:pPr>
    </w:p>
    <w:p w14:paraId="19C3823F">
      <w:pPr>
        <w:pStyle w:val="20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  <w14:textFill>
            <w14:solidFill>
              <w14:schemeClr w14:val="tx1"/>
            </w14:solidFill>
          </w14:textFill>
        </w:rPr>
      </w:pPr>
    </w:p>
    <w:p w14:paraId="7C68670D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ПАСПОРТ ОТДЕЛКИ ПОМЕЩЕНИЙ,</w:t>
      </w:r>
    </w:p>
    <w:p w14:paraId="4C465874">
      <w:pPr>
        <w:pStyle w:val="20"/>
        <w:spacing w:line="360" w:lineRule="auto"/>
        <w:ind w:left="284" w:right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41BC485C">
      <w:pPr>
        <w:shd w:val="clear" w:color="auto" w:fill="FFFFFF"/>
        <w:spacing w:before="7" w:line="288" w:lineRule="exact"/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Примечание</w:t>
      </w:r>
      <w:r>
        <w:rPr>
          <w:rFonts w:eastAsia="Calibri"/>
          <w:b/>
          <w:lang w:eastAsia="en-US"/>
        </w:rPr>
        <w:t>:</w:t>
      </w:r>
      <w:r>
        <w:rPr>
          <w:rFonts w:eastAsia="Calibri"/>
          <w:lang w:eastAsia="en-US"/>
        </w:rPr>
        <w:t xml:space="preserve"> 1.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</w:t>
      </w:r>
    </w:p>
    <w:p w14:paraId="6F30D2AD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>2. При наличии входящих в состав объекта долевого строительства элементы отделки, системы инженерно-технического обеспечения, конструктивные элементы, изделия, работы (малярные, плотничные, плиточные, штукатурные, обойные работы, настил линолеума, устройство подоконников) правила по эксплуатации устанавливаются Инструкцией по эксплуатации объекта долевого строительства</w:t>
      </w:r>
    </w:p>
    <w:p w14:paraId="3F0F2E35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20"/>
        <w:gridCol w:w="5378"/>
      </w:tblGrid>
      <w:tr w14:paraId="72E3F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20" w:type="dxa"/>
          </w:tcPr>
          <w:p w14:paraId="446C8EBB">
            <w:pPr>
              <w:jc w:val="both"/>
              <w:rPr>
                <w:sz w:val="22"/>
                <w:szCs w:val="22"/>
              </w:rPr>
            </w:pPr>
          </w:p>
          <w:p w14:paraId="13AC6FD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имени ЗАСТРОЙЩИКА:</w:t>
            </w:r>
          </w:p>
          <w:p w14:paraId="594BE8D1">
            <w:pPr>
              <w:jc w:val="both"/>
              <w:rPr>
                <w:b/>
                <w:sz w:val="22"/>
                <w:szCs w:val="22"/>
              </w:rPr>
            </w:pPr>
          </w:p>
          <w:p w14:paraId="502F85F9">
            <w:pPr>
              <w:jc w:val="both"/>
              <w:rPr>
                <w:b/>
                <w:sz w:val="22"/>
                <w:szCs w:val="22"/>
              </w:rPr>
            </w:pPr>
          </w:p>
          <w:p w14:paraId="4A337873">
            <w:pPr>
              <w:jc w:val="both"/>
              <w:rPr>
                <w:b/>
                <w:sz w:val="22"/>
                <w:szCs w:val="22"/>
              </w:rPr>
            </w:pPr>
          </w:p>
          <w:p w14:paraId="33A0A93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________________________/________/</w:t>
            </w:r>
          </w:p>
          <w:p w14:paraId="3587BFB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33D21C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16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78"/>
            </w:tblGrid>
            <w:tr w14:paraId="591A4EB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4978" w:type="dxa"/>
                </w:tcPr>
                <w:p w14:paraId="1E9793BA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380AFBEC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186F4CCD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0E21391">
                  <w:pPr>
                    <w:pStyle w:val="52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_____________________/________________/</w:t>
                  </w:r>
                </w:p>
                <w:p w14:paraId="7C1552E6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614AD65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0F0CA35E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F12D625">
      <w:pPr>
        <w:rPr>
          <w:b/>
          <w:sz w:val="22"/>
          <w:szCs w:val="22"/>
        </w:rPr>
      </w:pPr>
    </w:p>
    <w:p w14:paraId="00AE1366">
      <w:pPr>
        <w:rPr>
          <w:b/>
          <w:sz w:val="22"/>
          <w:szCs w:val="22"/>
        </w:rPr>
      </w:pPr>
    </w:p>
    <w:p w14:paraId="312AEE3F">
      <w:pPr>
        <w:pStyle w:val="20"/>
        <w:spacing w:line="276" w:lineRule="auto"/>
        <w:jc w:val="both"/>
        <w:rPr>
          <w:sz w:val="22"/>
          <w:szCs w:val="22"/>
        </w:rPr>
      </w:pPr>
    </w:p>
    <w:p w14:paraId="5702B796">
      <w:pPr>
        <w:rPr>
          <w:b/>
          <w:sz w:val="22"/>
          <w:szCs w:val="22"/>
        </w:rPr>
      </w:pPr>
    </w:p>
    <w:p w14:paraId="1E49CC86">
      <w:pPr>
        <w:rPr>
          <w:b/>
          <w:sz w:val="22"/>
          <w:szCs w:val="22"/>
        </w:rPr>
      </w:pPr>
    </w:p>
    <w:p w14:paraId="1037F65E">
      <w:pPr>
        <w:pStyle w:val="20"/>
        <w:spacing w:line="276" w:lineRule="auto"/>
        <w:jc w:val="both"/>
        <w:rPr>
          <w:sz w:val="22"/>
          <w:szCs w:val="22"/>
        </w:rPr>
      </w:pPr>
    </w:p>
    <w:p w14:paraId="4DF324C7"/>
    <w:p w14:paraId="03D6BBB7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FEC11A7"/>
    <w:p w14:paraId="7E6E1A04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60E9104D">
      <w:pPr>
        <w:pStyle w:val="20"/>
        <w:spacing w:line="276" w:lineRule="auto"/>
        <w:jc w:val="both"/>
        <w:rPr>
          <w:sz w:val="22"/>
          <w:szCs w:val="22"/>
        </w:rPr>
      </w:pPr>
    </w:p>
    <w:sectPr>
      <w:footerReference r:id="rId5" w:type="default"/>
      <w:pgSz w:w="11906" w:h="16838"/>
      <w:pgMar w:top="426" w:right="707" w:bottom="142" w:left="1134" w:header="708" w:footer="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lfaen">
    <w:panose1 w:val="010A0502050306030303"/>
    <w:charset w:val="CC"/>
    <w:family w:val="roman"/>
    <w:pitch w:val="default"/>
    <w:sig w:usb0="04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4C007B">
    <w:pPr>
      <w:pStyle w:val="1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13</w:t>
    </w:r>
    <w:r>
      <w:fldChar w:fldCharType="end"/>
    </w:r>
  </w:p>
  <w:p w14:paraId="74BB728E">
    <w:pPr>
      <w:pStyle w:val="1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982809"/>
    <w:multiLevelType w:val="multilevel"/>
    <w:tmpl w:val="06982809"/>
    <w:lvl w:ilvl="0" w:tentative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>
    <w:nsid w:val="074F148A"/>
    <w:multiLevelType w:val="multilevel"/>
    <w:tmpl w:val="074F148A"/>
    <w:lvl w:ilvl="0" w:tentative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">
    <w:nsid w:val="11FE6729"/>
    <w:multiLevelType w:val="multilevel"/>
    <w:tmpl w:val="11FE6729"/>
    <w:lvl w:ilvl="0" w:tentative="0">
      <w:start w:val="11"/>
      <w:numFmt w:val="decimal"/>
      <w:lvlText w:val="%1"/>
      <w:lvlJc w:val="left"/>
      <w:pPr>
        <w:ind w:left="420" w:hanging="420"/>
      </w:pPr>
      <w:rPr>
        <w:rFonts w:hint="default" w:cs="Times New Roman"/>
      </w:rPr>
    </w:lvl>
    <w:lvl w:ilvl="1" w:tentative="0">
      <w:start w:val="1"/>
      <w:numFmt w:val="decimal"/>
      <w:lvlText w:val="%1.%2"/>
      <w:lvlJc w:val="left"/>
      <w:pPr>
        <w:ind w:left="1500" w:hanging="420"/>
      </w:pPr>
      <w:rPr>
        <w:rFonts w:hint="default" w:cs="Times New Roman"/>
      </w:rPr>
    </w:lvl>
    <w:lvl w:ilvl="2" w:tentative="0">
      <w:start w:val="1"/>
      <w:numFmt w:val="decimal"/>
      <w:lvlText w:val="%1.%2.%3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"/>
      <w:lvlJc w:val="left"/>
      <w:pPr>
        <w:ind w:left="5040" w:hanging="720"/>
      </w:pPr>
      <w:rPr>
        <w:rFonts w:hint="default" w:cs="Times New Roman"/>
      </w:rPr>
    </w:lvl>
    <w:lvl w:ilvl="5" w:tentative="0">
      <w:start w:val="1"/>
      <w:numFmt w:val="decimal"/>
      <w:lvlText w:val="%1.%2.%3.%4.%5.%6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"/>
      <w:lvlJc w:val="left"/>
      <w:pPr>
        <w:ind w:left="10080" w:hanging="1440"/>
      </w:pPr>
      <w:rPr>
        <w:rFonts w:hint="default" w:cs="Times New Roman"/>
      </w:rPr>
    </w:lvl>
  </w:abstractNum>
  <w:abstractNum w:abstractNumId="3">
    <w:nsid w:val="44703E34"/>
    <w:multiLevelType w:val="multilevel"/>
    <w:tmpl w:val="44703E34"/>
    <w:lvl w:ilvl="0" w:tentative="0">
      <w:start w:val="11"/>
      <w:numFmt w:val="decimal"/>
      <w:lvlText w:val="%1"/>
      <w:lvlJc w:val="left"/>
      <w:pPr>
        <w:ind w:left="420" w:hanging="420"/>
      </w:pPr>
      <w:rPr>
        <w:rFonts w:hint="default" w:cs="Times New Roman"/>
      </w:rPr>
    </w:lvl>
    <w:lvl w:ilvl="1" w:tentative="0">
      <w:start w:val="4"/>
      <w:numFmt w:val="decimal"/>
      <w:lvlText w:val="%1.%2"/>
      <w:lvlJc w:val="left"/>
      <w:pPr>
        <w:ind w:left="1500" w:hanging="420"/>
      </w:pPr>
      <w:rPr>
        <w:rFonts w:hint="default" w:cs="Times New Roman"/>
      </w:rPr>
    </w:lvl>
    <w:lvl w:ilvl="2" w:tentative="0">
      <w:start w:val="1"/>
      <w:numFmt w:val="decimal"/>
      <w:lvlText w:val="%1.%2.%3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"/>
      <w:lvlJc w:val="left"/>
      <w:pPr>
        <w:ind w:left="5040" w:hanging="720"/>
      </w:pPr>
      <w:rPr>
        <w:rFonts w:hint="default" w:cs="Times New Roman"/>
      </w:rPr>
    </w:lvl>
    <w:lvl w:ilvl="5" w:tentative="0">
      <w:start w:val="1"/>
      <w:numFmt w:val="decimal"/>
      <w:lvlText w:val="%1.%2.%3.%4.%5.%6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"/>
      <w:lvlJc w:val="left"/>
      <w:pPr>
        <w:ind w:left="10080" w:hanging="1440"/>
      </w:pPr>
      <w:rPr>
        <w:rFonts w:hint="default" w:cs="Times New Roman"/>
      </w:rPr>
    </w:lvl>
  </w:abstractNum>
  <w:abstractNum w:abstractNumId="4">
    <w:nsid w:val="5ABC16F6"/>
    <w:multiLevelType w:val="multilevel"/>
    <w:tmpl w:val="5ABC16F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  <w:color w:val="auto"/>
      </w:rPr>
    </w:lvl>
    <w:lvl w:ilvl="1" w:tentative="0">
      <w:start w:val="5"/>
      <w:numFmt w:val="decimal"/>
      <w:lvlText w:val="%1.%2."/>
      <w:lvlJc w:val="left"/>
      <w:pPr>
        <w:ind w:left="927" w:hanging="360"/>
      </w:pPr>
      <w:rPr>
        <w:rFonts w:hint="default" w:cs="Times New Roman"/>
        <w:color w:val="auto"/>
      </w:rPr>
    </w:lvl>
    <w:lvl w:ilvl="2" w:tentative="0">
      <w:start w:val="1"/>
      <w:numFmt w:val="decimal"/>
      <w:lvlText w:val="%1.%2.%3."/>
      <w:lvlJc w:val="left"/>
      <w:pPr>
        <w:ind w:left="1854" w:hanging="720"/>
      </w:pPr>
      <w:rPr>
        <w:rFonts w:hint="default" w:cs="Times New Roman"/>
        <w:color w:val="auto"/>
      </w:rPr>
    </w:lvl>
    <w:lvl w:ilvl="3" w:tentative="0">
      <w:start w:val="1"/>
      <w:numFmt w:val="decimal"/>
      <w:lvlText w:val="%1.%2.%3.%4."/>
      <w:lvlJc w:val="left"/>
      <w:pPr>
        <w:ind w:left="2421" w:hanging="720"/>
      </w:pPr>
      <w:rPr>
        <w:rFonts w:hint="default" w:cs="Times New Roman"/>
        <w:color w:val="auto"/>
      </w:rPr>
    </w:lvl>
    <w:lvl w:ilvl="4" w:tentative="0">
      <w:start w:val="1"/>
      <w:numFmt w:val="decimal"/>
      <w:lvlText w:val="%1.%2.%3.%4.%5."/>
      <w:lvlJc w:val="left"/>
      <w:pPr>
        <w:ind w:left="3348" w:hanging="1080"/>
      </w:pPr>
      <w:rPr>
        <w:rFonts w:hint="default" w:cs="Times New Roman"/>
        <w:color w:val="auto"/>
      </w:rPr>
    </w:lvl>
    <w:lvl w:ilvl="5" w:tentative="0">
      <w:start w:val="1"/>
      <w:numFmt w:val="decimal"/>
      <w:lvlText w:val="%1.%2.%3.%4.%5.%6."/>
      <w:lvlJc w:val="left"/>
      <w:pPr>
        <w:ind w:left="3915" w:hanging="1080"/>
      </w:pPr>
      <w:rPr>
        <w:rFonts w:hint="default" w:cs="Times New Roman"/>
        <w:color w:val="auto"/>
      </w:rPr>
    </w:lvl>
    <w:lvl w:ilvl="6" w:tentative="0">
      <w:start w:val="1"/>
      <w:numFmt w:val="decimal"/>
      <w:lvlText w:val="%1.%2.%3.%4.%5.%6.%7."/>
      <w:lvlJc w:val="left"/>
      <w:pPr>
        <w:ind w:left="4842" w:hanging="1440"/>
      </w:pPr>
      <w:rPr>
        <w:rFonts w:hint="default" w:cs="Times New Roman"/>
        <w:color w:val="auto"/>
      </w:rPr>
    </w:lvl>
    <w:lvl w:ilvl="7" w:tentative="0">
      <w:start w:val="1"/>
      <w:numFmt w:val="decimal"/>
      <w:lvlText w:val="%1.%2.%3.%4.%5.%6.%7.%8."/>
      <w:lvlJc w:val="left"/>
      <w:pPr>
        <w:ind w:left="5409" w:hanging="1440"/>
      </w:pPr>
      <w:rPr>
        <w:rFonts w:hint="default" w:cs="Times New Roman"/>
        <w:color w:val="auto"/>
      </w:rPr>
    </w:lvl>
    <w:lvl w:ilvl="8" w:tentative="0">
      <w:start w:val="1"/>
      <w:numFmt w:val="decimal"/>
      <w:lvlText w:val="%1.%2.%3.%4.%5.%6.%7.%8.%9."/>
      <w:lvlJc w:val="left"/>
      <w:pPr>
        <w:ind w:left="6336" w:hanging="1800"/>
      </w:pPr>
      <w:rPr>
        <w:rFonts w:hint="default" w:cs="Times New Roman"/>
        <w:color w:val="auto"/>
      </w:rPr>
    </w:lvl>
  </w:abstractNum>
  <w:abstractNum w:abstractNumId="5">
    <w:nsid w:val="675A357D"/>
    <w:multiLevelType w:val="multilevel"/>
    <w:tmpl w:val="675A357D"/>
    <w:lvl w:ilvl="0" w:tentative="0">
      <w:start w:val="11"/>
      <w:numFmt w:val="decimal"/>
      <w:lvlText w:val="%1."/>
      <w:lvlJc w:val="left"/>
      <w:pPr>
        <w:ind w:left="480" w:hanging="480"/>
      </w:pPr>
      <w:rPr>
        <w:rFonts w:hint="default" w:cs="Times New Roman"/>
      </w:rPr>
    </w:lvl>
    <w:lvl w:ilvl="1" w:tentative="0">
      <w:start w:val="2"/>
      <w:numFmt w:val="decimal"/>
      <w:lvlText w:val="%1.%2."/>
      <w:lvlJc w:val="left"/>
      <w:pPr>
        <w:ind w:left="1560" w:hanging="480"/>
      </w:pPr>
      <w:rPr>
        <w:rFonts w:hint="default" w:cs="Times New Roman"/>
      </w:rPr>
    </w:lvl>
    <w:lvl w:ilvl="2" w:tentative="0">
      <w:start w:val="1"/>
      <w:numFmt w:val="decimal"/>
      <w:lvlText w:val="%1.%2.%3.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.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."/>
      <w:lvlJc w:val="left"/>
      <w:pPr>
        <w:ind w:left="5400" w:hanging="1080"/>
      </w:pPr>
      <w:rPr>
        <w:rFonts w:hint="default" w:cs="Times New Roman"/>
      </w:rPr>
    </w:lvl>
    <w:lvl w:ilvl="5" w:tentative="0">
      <w:start w:val="1"/>
      <w:numFmt w:val="decimal"/>
      <w:lvlText w:val="%1.%2.%3.%4.%5.%6.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.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.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."/>
      <w:lvlJc w:val="left"/>
      <w:pPr>
        <w:ind w:left="10080" w:hanging="1440"/>
      </w:pPr>
      <w:rPr>
        <w:rFonts w:hint="default" w:cs="Times New Roman"/>
      </w:rPr>
    </w:lvl>
  </w:abstractNum>
  <w:abstractNum w:abstractNumId="6">
    <w:nsid w:val="77DE5094"/>
    <w:multiLevelType w:val="multilevel"/>
    <w:tmpl w:val="77DE509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8C"/>
    <w:rsid w:val="00003DA1"/>
    <w:rsid w:val="00005268"/>
    <w:rsid w:val="00014F04"/>
    <w:rsid w:val="00016436"/>
    <w:rsid w:val="000215D7"/>
    <w:rsid w:val="0002498B"/>
    <w:rsid w:val="0003193C"/>
    <w:rsid w:val="00031FA7"/>
    <w:rsid w:val="0003588F"/>
    <w:rsid w:val="0003792A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4478"/>
    <w:rsid w:val="000A2BF7"/>
    <w:rsid w:val="000A3644"/>
    <w:rsid w:val="000A3858"/>
    <w:rsid w:val="000A5BC2"/>
    <w:rsid w:val="000B1C29"/>
    <w:rsid w:val="000B7AD3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731B"/>
    <w:rsid w:val="000F1F3D"/>
    <w:rsid w:val="000F62ED"/>
    <w:rsid w:val="00102BD9"/>
    <w:rsid w:val="00104496"/>
    <w:rsid w:val="00105417"/>
    <w:rsid w:val="00105CE7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51A"/>
    <w:rsid w:val="001B2A8B"/>
    <w:rsid w:val="001B2B6A"/>
    <w:rsid w:val="001B5CAC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5CE0"/>
    <w:rsid w:val="00200B8B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46169"/>
    <w:rsid w:val="002571FE"/>
    <w:rsid w:val="00266764"/>
    <w:rsid w:val="00266E94"/>
    <w:rsid w:val="00271F78"/>
    <w:rsid w:val="00274CDE"/>
    <w:rsid w:val="00287AAF"/>
    <w:rsid w:val="00290144"/>
    <w:rsid w:val="0029093D"/>
    <w:rsid w:val="00290CB7"/>
    <w:rsid w:val="002A0117"/>
    <w:rsid w:val="002A13AA"/>
    <w:rsid w:val="002A1AD2"/>
    <w:rsid w:val="002A23D9"/>
    <w:rsid w:val="002B1DA1"/>
    <w:rsid w:val="002C2D8C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E4D35"/>
    <w:rsid w:val="002F7152"/>
    <w:rsid w:val="0030226B"/>
    <w:rsid w:val="00302A39"/>
    <w:rsid w:val="003066DA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78E8"/>
    <w:rsid w:val="00357F31"/>
    <w:rsid w:val="0036155B"/>
    <w:rsid w:val="00362F9F"/>
    <w:rsid w:val="00365159"/>
    <w:rsid w:val="00367B63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45C5A"/>
    <w:rsid w:val="00452636"/>
    <w:rsid w:val="004572A5"/>
    <w:rsid w:val="004576AA"/>
    <w:rsid w:val="00462775"/>
    <w:rsid w:val="00462FB4"/>
    <w:rsid w:val="00463C32"/>
    <w:rsid w:val="004660BE"/>
    <w:rsid w:val="00475BA6"/>
    <w:rsid w:val="0047769D"/>
    <w:rsid w:val="004836C4"/>
    <w:rsid w:val="00490F19"/>
    <w:rsid w:val="00497AC1"/>
    <w:rsid w:val="004A0614"/>
    <w:rsid w:val="004A235E"/>
    <w:rsid w:val="004B0AA8"/>
    <w:rsid w:val="004B242C"/>
    <w:rsid w:val="004C1CED"/>
    <w:rsid w:val="004C1EE1"/>
    <w:rsid w:val="004C52CF"/>
    <w:rsid w:val="004C7FCD"/>
    <w:rsid w:val="004D3040"/>
    <w:rsid w:val="004D695F"/>
    <w:rsid w:val="004E2C65"/>
    <w:rsid w:val="004E4849"/>
    <w:rsid w:val="004F0AA7"/>
    <w:rsid w:val="004F3EDC"/>
    <w:rsid w:val="005006EC"/>
    <w:rsid w:val="00501840"/>
    <w:rsid w:val="005112C7"/>
    <w:rsid w:val="0051531E"/>
    <w:rsid w:val="00517B89"/>
    <w:rsid w:val="005220AE"/>
    <w:rsid w:val="00522631"/>
    <w:rsid w:val="005231FC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3B6C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4C88"/>
    <w:rsid w:val="005E516D"/>
    <w:rsid w:val="005E7710"/>
    <w:rsid w:val="005F1CDD"/>
    <w:rsid w:val="005F2FEC"/>
    <w:rsid w:val="005F7F97"/>
    <w:rsid w:val="00601946"/>
    <w:rsid w:val="006058F2"/>
    <w:rsid w:val="00613581"/>
    <w:rsid w:val="006207C9"/>
    <w:rsid w:val="00624F11"/>
    <w:rsid w:val="00627982"/>
    <w:rsid w:val="00627A12"/>
    <w:rsid w:val="006332BA"/>
    <w:rsid w:val="00644CA6"/>
    <w:rsid w:val="006578D5"/>
    <w:rsid w:val="0066144B"/>
    <w:rsid w:val="0066589A"/>
    <w:rsid w:val="006775EB"/>
    <w:rsid w:val="00682922"/>
    <w:rsid w:val="00686BD1"/>
    <w:rsid w:val="0069231B"/>
    <w:rsid w:val="006928F2"/>
    <w:rsid w:val="00693C79"/>
    <w:rsid w:val="006977B0"/>
    <w:rsid w:val="006A0524"/>
    <w:rsid w:val="006A33D3"/>
    <w:rsid w:val="006A3719"/>
    <w:rsid w:val="006A4A44"/>
    <w:rsid w:val="006A7568"/>
    <w:rsid w:val="006B21DC"/>
    <w:rsid w:val="006B4943"/>
    <w:rsid w:val="006B6DB5"/>
    <w:rsid w:val="006B6EC1"/>
    <w:rsid w:val="006C7DEB"/>
    <w:rsid w:val="006D3920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26329"/>
    <w:rsid w:val="00731B63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818D0"/>
    <w:rsid w:val="00783450"/>
    <w:rsid w:val="00786065"/>
    <w:rsid w:val="00787130"/>
    <w:rsid w:val="00787FAF"/>
    <w:rsid w:val="00790E4E"/>
    <w:rsid w:val="007949AB"/>
    <w:rsid w:val="00795BC1"/>
    <w:rsid w:val="007966C3"/>
    <w:rsid w:val="007A0376"/>
    <w:rsid w:val="007A583E"/>
    <w:rsid w:val="007B2BA1"/>
    <w:rsid w:val="007B62CD"/>
    <w:rsid w:val="007C2701"/>
    <w:rsid w:val="007C43C4"/>
    <w:rsid w:val="007C4584"/>
    <w:rsid w:val="007D19FF"/>
    <w:rsid w:val="007D1FB1"/>
    <w:rsid w:val="007D2D71"/>
    <w:rsid w:val="007E0D77"/>
    <w:rsid w:val="007E1975"/>
    <w:rsid w:val="007E3708"/>
    <w:rsid w:val="007E55ED"/>
    <w:rsid w:val="007E577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2C28"/>
    <w:rsid w:val="00823E87"/>
    <w:rsid w:val="00830CE0"/>
    <w:rsid w:val="00830D53"/>
    <w:rsid w:val="008414F3"/>
    <w:rsid w:val="00844C69"/>
    <w:rsid w:val="0086305B"/>
    <w:rsid w:val="00866E5E"/>
    <w:rsid w:val="00867682"/>
    <w:rsid w:val="0087114B"/>
    <w:rsid w:val="008718AC"/>
    <w:rsid w:val="00872AC7"/>
    <w:rsid w:val="00883284"/>
    <w:rsid w:val="00884A34"/>
    <w:rsid w:val="0088585A"/>
    <w:rsid w:val="0089400B"/>
    <w:rsid w:val="008A5BDF"/>
    <w:rsid w:val="008B4BB3"/>
    <w:rsid w:val="008C1706"/>
    <w:rsid w:val="008C61ED"/>
    <w:rsid w:val="008C782C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1E0B"/>
    <w:rsid w:val="009B2B8A"/>
    <w:rsid w:val="009B329D"/>
    <w:rsid w:val="009B3980"/>
    <w:rsid w:val="009C7AD6"/>
    <w:rsid w:val="009D2EDF"/>
    <w:rsid w:val="009D4949"/>
    <w:rsid w:val="009E0B9C"/>
    <w:rsid w:val="009E1AEE"/>
    <w:rsid w:val="009E32E4"/>
    <w:rsid w:val="009F5780"/>
    <w:rsid w:val="00A00392"/>
    <w:rsid w:val="00A040A9"/>
    <w:rsid w:val="00A04742"/>
    <w:rsid w:val="00A05BB7"/>
    <w:rsid w:val="00A07BC0"/>
    <w:rsid w:val="00A26EBF"/>
    <w:rsid w:val="00A329DA"/>
    <w:rsid w:val="00A34D68"/>
    <w:rsid w:val="00A4474B"/>
    <w:rsid w:val="00A4708D"/>
    <w:rsid w:val="00A476AA"/>
    <w:rsid w:val="00A478B8"/>
    <w:rsid w:val="00A54437"/>
    <w:rsid w:val="00A61F89"/>
    <w:rsid w:val="00A65047"/>
    <w:rsid w:val="00A737E6"/>
    <w:rsid w:val="00A7417B"/>
    <w:rsid w:val="00A768A0"/>
    <w:rsid w:val="00A76E52"/>
    <w:rsid w:val="00A8200F"/>
    <w:rsid w:val="00A860F1"/>
    <w:rsid w:val="00A879BC"/>
    <w:rsid w:val="00A90D09"/>
    <w:rsid w:val="00A963B4"/>
    <w:rsid w:val="00AA59C2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1724"/>
    <w:rsid w:val="00B925C9"/>
    <w:rsid w:val="00B97311"/>
    <w:rsid w:val="00BA250A"/>
    <w:rsid w:val="00BA5769"/>
    <w:rsid w:val="00BA6159"/>
    <w:rsid w:val="00BB3AE2"/>
    <w:rsid w:val="00BC49C1"/>
    <w:rsid w:val="00BD0C0E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E71B1"/>
    <w:rsid w:val="00BF405F"/>
    <w:rsid w:val="00C033B4"/>
    <w:rsid w:val="00C03C32"/>
    <w:rsid w:val="00C051AE"/>
    <w:rsid w:val="00C06F0B"/>
    <w:rsid w:val="00C164D2"/>
    <w:rsid w:val="00C17CEE"/>
    <w:rsid w:val="00C22CB3"/>
    <w:rsid w:val="00C24287"/>
    <w:rsid w:val="00C31780"/>
    <w:rsid w:val="00C346A9"/>
    <w:rsid w:val="00C5128E"/>
    <w:rsid w:val="00C53339"/>
    <w:rsid w:val="00C75596"/>
    <w:rsid w:val="00C77D24"/>
    <w:rsid w:val="00C811A9"/>
    <w:rsid w:val="00C83941"/>
    <w:rsid w:val="00C849D0"/>
    <w:rsid w:val="00C867D8"/>
    <w:rsid w:val="00C92F2B"/>
    <w:rsid w:val="00C931FA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2D43"/>
    <w:rsid w:val="00CC6C14"/>
    <w:rsid w:val="00CD2FA9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0F1E"/>
    <w:rsid w:val="00D42986"/>
    <w:rsid w:val="00D43941"/>
    <w:rsid w:val="00D43EDF"/>
    <w:rsid w:val="00D46A4D"/>
    <w:rsid w:val="00D54C86"/>
    <w:rsid w:val="00D5521C"/>
    <w:rsid w:val="00D62999"/>
    <w:rsid w:val="00D63217"/>
    <w:rsid w:val="00D64C0D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55B2B"/>
    <w:rsid w:val="00E62BA8"/>
    <w:rsid w:val="00E63566"/>
    <w:rsid w:val="00E6546F"/>
    <w:rsid w:val="00E701A8"/>
    <w:rsid w:val="00E71406"/>
    <w:rsid w:val="00E7286E"/>
    <w:rsid w:val="00E74A10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60C0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47805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6685"/>
    <w:rsid w:val="00FB2F4F"/>
    <w:rsid w:val="00FB36B1"/>
    <w:rsid w:val="00FB384C"/>
    <w:rsid w:val="00FB5D0E"/>
    <w:rsid w:val="00FB6289"/>
    <w:rsid w:val="00FB7111"/>
    <w:rsid w:val="00FC7598"/>
    <w:rsid w:val="00FC775A"/>
    <w:rsid w:val="00FC7EDA"/>
    <w:rsid w:val="00FE1384"/>
    <w:rsid w:val="00FE60B3"/>
    <w:rsid w:val="00FF3465"/>
    <w:rsid w:val="00FF54F0"/>
    <w:rsid w:val="59310E82"/>
    <w:rsid w:val="7579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Times New Roman" w:cstheme="minorHAns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qFormat/>
    <w:uiPriority w:val="99"/>
    <w:rPr>
      <w:rFonts w:cs="Times New Roman"/>
      <w:color w:val="800080"/>
      <w:u w:val="single"/>
    </w:rPr>
  </w:style>
  <w:style w:type="character" w:styleId="5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6">
    <w:name w:val="endnote reference"/>
    <w:basedOn w:val="2"/>
    <w:semiHidden/>
    <w:unhideWhenUsed/>
    <w:qFormat/>
    <w:uiPriority w:val="99"/>
    <w:rPr>
      <w:vertAlign w:val="superscript"/>
    </w:rPr>
  </w:style>
  <w:style w:type="character" w:styleId="7">
    <w:name w:val="Hyperlink"/>
    <w:basedOn w:val="2"/>
    <w:semiHidden/>
    <w:unhideWhenUsed/>
    <w:qFormat/>
    <w:uiPriority w:val="99"/>
    <w:rPr>
      <w:rFonts w:cs="Times New Roman"/>
      <w:color w:val="0000FF"/>
      <w:u w:val="single"/>
    </w:rPr>
  </w:style>
  <w:style w:type="paragraph" w:styleId="8">
    <w:name w:val="Balloon Text"/>
    <w:basedOn w:val="1"/>
    <w:link w:val="19"/>
    <w:semiHidden/>
    <w:unhideWhenUsed/>
    <w:uiPriority w:val="99"/>
    <w:rPr>
      <w:rFonts w:ascii="Tahoma" w:hAnsi="Tahoma" w:cs="Tahoma"/>
      <w:sz w:val="16"/>
      <w:szCs w:val="16"/>
    </w:rPr>
  </w:style>
  <w:style w:type="paragraph" w:styleId="9">
    <w:name w:val="endnote text"/>
    <w:basedOn w:val="1"/>
    <w:link w:val="56"/>
    <w:semiHidden/>
    <w:unhideWhenUsed/>
    <w:qFormat/>
    <w:uiPriority w:val="99"/>
    <w:rPr>
      <w:sz w:val="20"/>
      <w:szCs w:val="20"/>
    </w:rPr>
  </w:style>
  <w:style w:type="paragraph" w:styleId="10">
    <w:name w:val="annotation text"/>
    <w:basedOn w:val="1"/>
    <w:link w:val="57"/>
    <w:semiHidden/>
    <w:unhideWhenUsed/>
    <w:qFormat/>
    <w:uiPriority w:val="99"/>
    <w:rPr>
      <w:sz w:val="20"/>
      <w:szCs w:val="20"/>
    </w:rPr>
  </w:style>
  <w:style w:type="paragraph" w:styleId="11">
    <w:name w:val="annotation subject"/>
    <w:basedOn w:val="10"/>
    <w:next w:val="10"/>
    <w:link w:val="58"/>
    <w:semiHidden/>
    <w:unhideWhenUsed/>
    <w:qFormat/>
    <w:uiPriority w:val="99"/>
    <w:rPr>
      <w:b/>
      <w:bCs/>
    </w:rPr>
  </w:style>
  <w:style w:type="paragraph" w:styleId="12">
    <w:name w:val="header"/>
    <w:basedOn w:val="1"/>
    <w:link w:val="17"/>
    <w:unhideWhenUsed/>
    <w:qFormat/>
    <w:uiPriority w:val="99"/>
    <w:pPr>
      <w:tabs>
        <w:tab w:val="center" w:pos="4677"/>
        <w:tab w:val="right" w:pos="9355"/>
      </w:tabs>
    </w:pPr>
  </w:style>
  <w:style w:type="paragraph" w:styleId="13">
    <w:name w:val="Body Text Indent"/>
    <w:basedOn w:val="1"/>
    <w:link w:val="54"/>
    <w:qFormat/>
    <w:uiPriority w:val="99"/>
    <w:pPr>
      <w:spacing w:after="120"/>
      <w:ind w:left="283"/>
    </w:pPr>
  </w:style>
  <w:style w:type="paragraph" w:styleId="14">
    <w:name w:val="footer"/>
    <w:basedOn w:val="1"/>
    <w:link w:val="18"/>
    <w:unhideWhenUsed/>
    <w:qFormat/>
    <w:uiPriority w:val="99"/>
    <w:pPr>
      <w:tabs>
        <w:tab w:val="center" w:pos="4677"/>
        <w:tab w:val="right" w:pos="9355"/>
      </w:tabs>
    </w:pPr>
  </w:style>
  <w:style w:type="paragraph" w:styleId="1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table" w:styleId="16">
    <w:name w:val="Table Grid"/>
    <w:basedOn w:val="3"/>
    <w:qFormat/>
    <w:uiPriority w:val="59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Верхний колонтитул Знак"/>
    <w:basedOn w:val="2"/>
    <w:link w:val="12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8">
    <w:name w:val="Нижний колонтитул Знак"/>
    <w:basedOn w:val="2"/>
    <w:link w:val="14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9">
    <w:name w:val="Текст выноски Знак"/>
    <w:basedOn w:val="2"/>
    <w:link w:val="8"/>
    <w:semiHidden/>
    <w:qFormat/>
    <w:locked/>
    <w:uiPriority w:val="99"/>
    <w:rPr>
      <w:rFonts w:ascii="Tahoma" w:hAnsi="Tahoma" w:cs="Tahoma"/>
      <w:sz w:val="16"/>
      <w:szCs w:val="16"/>
      <w:lang w:eastAsia="ru-RU"/>
    </w:rPr>
  </w:style>
  <w:style w:type="paragraph" w:styleId="20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1">
    <w:name w:val="List Paragraph"/>
    <w:basedOn w:val="1"/>
    <w:link w:val="55"/>
    <w:qFormat/>
    <w:uiPriority w:val="34"/>
    <w:pPr>
      <w:ind w:left="720"/>
      <w:contextualSpacing/>
    </w:pPr>
  </w:style>
  <w:style w:type="paragraph" w:customStyle="1" w:styleId="22">
    <w:name w:val="ConsPlus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23">
    <w:name w:val="ConsPlusNonformat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24">
    <w:name w:val="ConsPlusTitle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b/>
      <w:bCs/>
      <w:sz w:val="20"/>
      <w:szCs w:val="20"/>
      <w:lang w:val="ru-RU" w:eastAsia="ru-RU" w:bidi="ar-SA"/>
    </w:rPr>
  </w:style>
  <w:style w:type="character" w:customStyle="1" w:styleId="25">
    <w:name w:val="Основной текст_"/>
    <w:link w:val="26"/>
    <w:qFormat/>
    <w:locked/>
    <w:uiPriority w:val="0"/>
    <w:rPr>
      <w:rFonts w:ascii="Sylfaen" w:hAnsi="Sylfaen"/>
      <w:sz w:val="21"/>
      <w:shd w:val="clear" w:color="auto" w:fill="FFFFFF"/>
    </w:rPr>
  </w:style>
  <w:style w:type="paragraph" w:customStyle="1" w:styleId="26">
    <w:name w:val="Основной текст1"/>
    <w:basedOn w:val="1"/>
    <w:link w:val="25"/>
    <w:qFormat/>
    <w:uiPriority w:val="0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7">
    <w:name w:val="Основной текст (2)_"/>
    <w:link w:val="28"/>
    <w:qFormat/>
    <w:locked/>
    <w:uiPriority w:val="0"/>
    <w:rPr>
      <w:rFonts w:ascii="Sylfaen" w:hAnsi="Sylfaen"/>
      <w:sz w:val="21"/>
      <w:shd w:val="clear" w:color="auto" w:fill="FFFFFF"/>
    </w:rPr>
  </w:style>
  <w:style w:type="paragraph" w:customStyle="1" w:styleId="28">
    <w:name w:val="Основной текст (2)"/>
    <w:basedOn w:val="1"/>
    <w:link w:val="27"/>
    <w:qFormat/>
    <w:uiPriority w:val="0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9">
    <w:name w:val="Заголовок №2_"/>
    <w:link w:val="30"/>
    <w:qFormat/>
    <w:locked/>
    <w:uiPriority w:val="0"/>
    <w:rPr>
      <w:sz w:val="24"/>
      <w:shd w:val="clear" w:color="auto" w:fill="FFFFFF"/>
    </w:rPr>
  </w:style>
  <w:style w:type="paragraph" w:customStyle="1" w:styleId="30">
    <w:name w:val="Заголовок №2"/>
    <w:basedOn w:val="1"/>
    <w:link w:val="29"/>
    <w:qFormat/>
    <w:uiPriority w:val="0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31">
    <w:name w:val="xl6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2">
    <w:name w:val="xl6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</w:pPr>
  </w:style>
  <w:style w:type="paragraph" w:customStyle="1" w:styleId="33">
    <w:name w:val="xl6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4">
    <w:name w:val="xl6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5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6">
    <w:name w:val="xl6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7">
    <w:name w:val="xl7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8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9">
    <w:name w:val="xl63"/>
    <w:basedOn w:val="1"/>
    <w:qFormat/>
    <w:uiPriority w:val="9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0">
    <w:name w:val="xl72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1">
    <w:name w:val="xl73"/>
    <w:basedOn w:val="1"/>
    <w:qFormat/>
    <w:uiPriority w:val="0"/>
    <w:pPr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42">
    <w:name w:val="xl74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43">
    <w:name w:val="xl75"/>
    <w:basedOn w:val="1"/>
    <w:qFormat/>
    <w:uiPriority w:val="0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4">
    <w:name w:val="xl76"/>
    <w:basedOn w:val="1"/>
    <w:qFormat/>
    <w:uiPriority w:val="0"/>
    <w:pPr>
      <w:pBdr>
        <w:top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5">
    <w:name w:val="xl77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6">
    <w:name w:val="xl78"/>
    <w:basedOn w:val="1"/>
    <w:qFormat/>
    <w:uiPriority w:val="99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7">
    <w:name w:val="xl79"/>
    <w:basedOn w:val="1"/>
    <w:qFormat/>
    <w:uiPriority w:val="99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8">
    <w:name w:val="xl80"/>
    <w:basedOn w:val="1"/>
    <w:qFormat/>
    <w:uiPriority w:val="99"/>
    <w:pPr>
      <w:pBdr>
        <w:top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49">
    <w:name w:val="Основной текст + Полужирный"/>
    <w:qFormat/>
    <w:uiPriority w:val="0"/>
    <w:rPr>
      <w:rFonts w:ascii="Sylfaen" w:hAnsi="Sylfaen"/>
      <w:b/>
      <w:spacing w:val="0"/>
      <w:sz w:val="21"/>
    </w:rPr>
  </w:style>
  <w:style w:type="character" w:customStyle="1" w:styleId="50">
    <w:name w:val="Основной текст + 11 pt"/>
    <w:qFormat/>
    <w:uiPriority w:val="0"/>
    <w:rPr>
      <w:rFonts w:ascii="Times New Roman" w:hAnsi="Times New Roman"/>
      <w:spacing w:val="0"/>
      <w:sz w:val="22"/>
    </w:rPr>
  </w:style>
  <w:style w:type="character" w:customStyle="1" w:styleId="51">
    <w:name w:val="Основной текст + Полужирный1"/>
    <w:qFormat/>
    <w:uiPriority w:val="0"/>
    <w:rPr>
      <w:rFonts w:ascii="Times New Roman" w:hAnsi="Times New Roman"/>
      <w:b/>
      <w:spacing w:val="0"/>
      <w:sz w:val="24"/>
    </w:rPr>
  </w:style>
  <w:style w:type="paragraph" w:customStyle="1" w:styleId="52">
    <w:name w:val="ConsNonformat"/>
    <w:qFormat/>
    <w:uiPriority w:val="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table" w:customStyle="1" w:styleId="53">
    <w:name w:val="Сетка таблицы4"/>
    <w:basedOn w:val="3"/>
    <w:qFormat/>
    <w:uiPriority w:val="0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54">
    <w:name w:val="Основной текст с отступом Знак"/>
    <w:basedOn w:val="2"/>
    <w:link w:val="13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5">
    <w:name w:val="Абзац списка Знак"/>
    <w:basedOn w:val="2"/>
    <w:link w:val="21"/>
    <w:qFormat/>
    <w:locked/>
    <w:uiPriority w:val="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6">
    <w:name w:val="Текст концевой сноски Знак"/>
    <w:basedOn w:val="2"/>
    <w:link w:val="9"/>
    <w:semiHidden/>
    <w:qFormat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7">
    <w:name w:val="Текст примечания Знак"/>
    <w:basedOn w:val="2"/>
    <w:link w:val="10"/>
    <w:semiHidden/>
    <w:qFormat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8">
    <w:name w:val="Тема примечания Знак"/>
    <w:basedOn w:val="57"/>
    <w:link w:val="11"/>
    <w:semiHidden/>
    <w:qFormat/>
    <w:uiPriority w:val="99"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6241</Words>
  <Characters>35579</Characters>
  <Lines>296</Lines>
  <Paragraphs>83</Paragraphs>
  <TotalTime>0</TotalTime>
  <ScaleCrop>false</ScaleCrop>
  <LinksUpToDate>false</LinksUpToDate>
  <CharactersWithSpaces>41737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2024-02-29T11:43:00Z</dcterms:created>
  <dc:creator>l.krutova</dc:creator>
  <cp:lastModifiedBy>s.sycheva</cp:lastModifiedBy>
  <cp:lastPrinted>2024-02-20T10:17:00Z</cp:lastPrinted>
  <dcterms:modified xsi:type="dcterms:W3CDTF">2026-03-12T04:44:28Z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4F48C7C4FD31478EACA53F930E752B24_13</vt:lpwstr>
  </property>
</Properties>
</file>